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D9C43" w14:textId="77777777" w:rsidR="00095673" w:rsidRPr="00095673" w:rsidRDefault="00095673" w:rsidP="00333CA5">
      <w:pPr>
        <w:pStyle w:val="Heading1"/>
        <w:rPr>
          <w:rFonts w:eastAsia="Times New Roman"/>
        </w:rPr>
      </w:pPr>
      <w:bookmarkStart w:id="0" w:name="_GoBack"/>
      <w:bookmarkEnd w:id="0"/>
      <w:r w:rsidRPr="00095673">
        <w:rPr>
          <w:rFonts w:eastAsia="Times New Roman"/>
        </w:rPr>
        <w:t>I. Introduction</w:t>
      </w:r>
    </w:p>
    <w:p w14:paraId="52A17E5A" w14:textId="0AB86BE9" w:rsidR="00095673" w:rsidRPr="00095673" w:rsidRDefault="00095673" w:rsidP="00187301">
      <w:r w:rsidRPr="00095673">
        <w:t xml:space="preserve">The </w:t>
      </w:r>
      <w:r w:rsidR="00E22AA6">
        <w:t>San Diego Imperial Swimming</w:t>
      </w:r>
      <w:r w:rsidRPr="00095673">
        <w:t xml:space="preserve"> Nonprofit Fund (hereafter referred to as the “Fund”) was created to provide perpetual financial support to </w:t>
      </w:r>
      <w:r w:rsidR="00E22AA6">
        <w:t>San Diego Imperial Swimming</w:t>
      </w:r>
      <w:r w:rsidRPr="00095673">
        <w:t xml:space="preserve"> (the “Institution”). The purpose of this Investment Policy Statement is to establish guidelines for the Fund’s investment portfolio (the “Portfolio”).  The statement also incorporates accountability standards that will be used for monitoring the progress of the Portfolio’s investment program and for evaluating the contributions of </w:t>
      </w:r>
      <w:proofErr w:type="gramStart"/>
      <w:r w:rsidRPr="00095673">
        <w:t>the  manager</w:t>
      </w:r>
      <w:proofErr w:type="gramEnd"/>
      <w:r w:rsidRPr="00095673">
        <w:t>(s) hired on behalf of the Fund and its beneficiaries.</w:t>
      </w:r>
    </w:p>
    <w:p w14:paraId="187929F3" w14:textId="77777777" w:rsidR="00095673" w:rsidRPr="00095673" w:rsidRDefault="00095673" w:rsidP="00333CA5">
      <w:pPr>
        <w:pStyle w:val="Heading1"/>
        <w:rPr>
          <w:rFonts w:eastAsia="Times New Roman"/>
        </w:rPr>
      </w:pPr>
      <w:r w:rsidRPr="00095673">
        <w:rPr>
          <w:rFonts w:eastAsia="Times New Roman"/>
        </w:rPr>
        <w:t>II. Role of the Investment Committee</w:t>
      </w:r>
    </w:p>
    <w:p w14:paraId="2E1CE693" w14:textId="747D15D8" w:rsidR="00095673" w:rsidRPr="00095673" w:rsidRDefault="00095673" w:rsidP="00187301">
      <w:r w:rsidRPr="00095673">
        <w:t xml:space="preserve">The Investment Committee (the “Committee”) is acting in a fiduciary capacity with respect to the Portfolio, and is accountable to the Board of </w:t>
      </w:r>
      <w:r w:rsidR="00E22AA6">
        <w:t>San Diego Imperial Swimming</w:t>
      </w:r>
      <w:r w:rsidRPr="00095673">
        <w:t xml:space="preserve"> and to the Executive Committee, for overseeing the investment of all assets owned by, or held in trust for, the Portfolio.</w:t>
      </w:r>
    </w:p>
    <w:p w14:paraId="6D23B4E1" w14:textId="2EEAC10A" w:rsidR="00095673" w:rsidRPr="00095673" w:rsidRDefault="00095673" w:rsidP="00333CA5">
      <w:pPr>
        <w:ind w:left="720"/>
      </w:pPr>
      <w:r w:rsidRPr="00095673">
        <w:t>A. This Investment Policy Statement sets forth the investment objectives, distribution policies, and investment guidelines that govern the activities of the Committee and any other parties to whom the Committee has delegated investment management responsibility for Portfolio assets.</w:t>
      </w:r>
    </w:p>
    <w:p w14:paraId="2D0CFDBA" w14:textId="46F54847" w:rsidR="00095673" w:rsidRPr="00095673" w:rsidRDefault="00095673" w:rsidP="00333CA5">
      <w:pPr>
        <w:ind w:left="720"/>
      </w:pPr>
      <w:r w:rsidRPr="00095673">
        <w:t xml:space="preserve">B. The investment policies for the Fund contained herein have been formulated consistent </w:t>
      </w:r>
      <w:r w:rsidR="00333CA5" w:rsidRPr="00095673">
        <w:t>with the</w:t>
      </w:r>
      <w:r w:rsidRPr="00095673">
        <w:t xml:space="preserve"> Institution’s anticipated financial needs and in consideration of the Institution’s tolerance </w:t>
      </w:r>
      <w:r w:rsidR="00333CA5" w:rsidRPr="00095673">
        <w:t>for assuming</w:t>
      </w:r>
      <w:r w:rsidRPr="00095673">
        <w:t xml:space="preserve"> investment and financial risk, as reflected in the majority opinion of the Committee.    </w:t>
      </w:r>
    </w:p>
    <w:p w14:paraId="760398CC" w14:textId="6D27F7BC" w:rsidR="00095673" w:rsidRPr="00095673" w:rsidRDefault="00095673" w:rsidP="00333CA5">
      <w:pPr>
        <w:ind w:left="720"/>
      </w:pPr>
      <w:r w:rsidRPr="00095673">
        <w:t xml:space="preserve">C. Policies contained in this statement are intended to provide guidelines, where necessary, </w:t>
      </w:r>
      <w:r w:rsidR="00333CA5" w:rsidRPr="00095673">
        <w:t>for ensuring</w:t>
      </w:r>
      <w:r w:rsidRPr="00095673">
        <w:t xml:space="preserve"> that the Portfolio’s investments are managed consistent with the short-term and long- term financial goals of the Fund. At the same time, they are intended to provide for </w:t>
      </w:r>
      <w:r w:rsidR="00333CA5" w:rsidRPr="00095673">
        <w:t>sufficient investment</w:t>
      </w:r>
      <w:r w:rsidRPr="00095673">
        <w:t xml:space="preserve"> flexibility in the face of changes in capital market conditions and in the </w:t>
      </w:r>
      <w:r w:rsidR="00333CA5" w:rsidRPr="00095673">
        <w:t>financial circumstances</w:t>
      </w:r>
      <w:r w:rsidRPr="00095673">
        <w:t xml:space="preserve"> of the Institution.</w:t>
      </w:r>
    </w:p>
    <w:p w14:paraId="728EDA66" w14:textId="2E25B503" w:rsidR="00095673" w:rsidRPr="00095673" w:rsidRDefault="00095673" w:rsidP="00333CA5">
      <w:pPr>
        <w:ind w:left="720"/>
      </w:pPr>
      <w:r w:rsidRPr="00095673">
        <w:t xml:space="preserve">D. The Committee will review this Investment Policy Statement at least once per year. Changes to this Investment Policy Statement can be made only by affirmation of a majority of the </w:t>
      </w:r>
      <w:r w:rsidR="00333CA5">
        <w:t>C</w:t>
      </w:r>
      <w:r w:rsidRPr="00095673">
        <w:t>ommittee, and written confirmation of the changes will be provided to all Committee members and to any other parties hired on behalf of the Portfolio as soon thereafter as is practical.</w:t>
      </w:r>
    </w:p>
    <w:p w14:paraId="6D5D69CC" w14:textId="77777777" w:rsidR="00095673" w:rsidRPr="00095673" w:rsidRDefault="00095673" w:rsidP="00333CA5">
      <w:pPr>
        <w:pStyle w:val="Heading1"/>
        <w:rPr>
          <w:rFonts w:eastAsia="Times New Roman"/>
        </w:rPr>
      </w:pPr>
      <w:r w:rsidRPr="00095673">
        <w:rPr>
          <w:rFonts w:eastAsia="Times New Roman"/>
        </w:rPr>
        <w:t>III.  Investment objective and spending policy</w:t>
      </w:r>
    </w:p>
    <w:p w14:paraId="2BF882E7" w14:textId="00DA8B11" w:rsidR="00095673" w:rsidRPr="00095673" w:rsidRDefault="00095673" w:rsidP="00333CA5">
      <w:pPr>
        <w:ind w:left="720"/>
      </w:pPr>
      <w:r w:rsidRPr="00095673">
        <w:t>A. The Fund is to be invested with the objective of preserving the long-term, real purchasing power of assets while providing a relatively predictable and growing stream of annual distributions in support of the Institution.</w:t>
      </w:r>
    </w:p>
    <w:p w14:paraId="00EE2AE3" w14:textId="5B15B668" w:rsidR="00095673" w:rsidRPr="00095673" w:rsidRDefault="00095673" w:rsidP="00333CA5">
      <w:pPr>
        <w:ind w:left="720"/>
      </w:pPr>
      <w:r w:rsidRPr="00095673">
        <w:t>B. For the purpose of making distributions, the Fund shall make use of a total-return-based spending</w:t>
      </w:r>
    </w:p>
    <w:p w14:paraId="6919244B" w14:textId="6B03AC91" w:rsidR="00333CA5" w:rsidRDefault="00095673" w:rsidP="00333CA5">
      <w:pPr>
        <w:ind w:left="720"/>
      </w:pPr>
      <w:r w:rsidRPr="00095673">
        <w:t>policy, meaning that it will fund distributions from net investment income, net realized capital gains, and proceeds from the sale of investments.</w:t>
      </w:r>
    </w:p>
    <w:p w14:paraId="6F118780" w14:textId="6FD37D05" w:rsidR="00095673" w:rsidRPr="00095673" w:rsidRDefault="00095673" w:rsidP="00333CA5">
      <w:pPr>
        <w:ind w:left="720"/>
      </w:pPr>
      <w:r w:rsidRPr="00095673">
        <w:lastRenderedPageBreak/>
        <w:t xml:space="preserve">C. The distribution of Fund assets will be permitted to the extent that such distributions do not exceed a level that would erode the Fund’s real assets over time. The Committee will seek to reduce the variability of annual Fund distributions by factoring past spending and Portfolio asset values into its current spending decisions. The Committee will review its spending assumptions annually for the purpose of deciding whether any changes therein necessitate amending the Fund’s spending policy, its target asset allocation, or both.  </w:t>
      </w:r>
    </w:p>
    <w:p w14:paraId="43A5ECA5" w14:textId="1F700941" w:rsidR="00095673" w:rsidRPr="00095673" w:rsidRDefault="00095673" w:rsidP="00333CA5">
      <w:pPr>
        <w:ind w:left="720"/>
      </w:pPr>
      <w:r w:rsidRPr="00095673">
        <w:t xml:space="preserve">D. Periodic cash flow, either into or out of the Portfolio, will be used to better align the investment portfolio to the target asset allocation outlined in the asset allocation policy at Section IV. A. herein.  </w:t>
      </w:r>
    </w:p>
    <w:p w14:paraId="4F745939" w14:textId="77777777" w:rsidR="00095673" w:rsidRPr="00095673" w:rsidRDefault="00095673" w:rsidP="00333CA5">
      <w:pPr>
        <w:pStyle w:val="Heading1"/>
        <w:rPr>
          <w:rFonts w:eastAsia="Times New Roman"/>
        </w:rPr>
      </w:pPr>
      <w:r w:rsidRPr="00095673">
        <w:rPr>
          <w:rFonts w:eastAsia="Times New Roman"/>
        </w:rPr>
        <w:t>IV. Portfolio investment policies</w:t>
      </w:r>
    </w:p>
    <w:p w14:paraId="3D8FAD09" w14:textId="77777777" w:rsidR="00095673" w:rsidRPr="00095673" w:rsidRDefault="00095673" w:rsidP="009400A6">
      <w:pPr>
        <w:ind w:left="720"/>
        <w:rPr>
          <w:rFonts w:ascii="g_d0_f1" w:hAnsi="g_d0_f1"/>
        </w:rPr>
      </w:pPr>
      <w:r w:rsidRPr="00095673">
        <w:rPr>
          <w:rFonts w:ascii="g_d0_f1" w:hAnsi="g_d0_f1"/>
        </w:rPr>
        <w:t>A.  Asset allocation policy</w:t>
      </w:r>
    </w:p>
    <w:p w14:paraId="7AE59F5F" w14:textId="599EC9A4" w:rsidR="00095673" w:rsidRPr="00095673" w:rsidRDefault="00095673" w:rsidP="009400A6">
      <w:pPr>
        <w:ind w:left="1440"/>
      </w:pPr>
      <w:r w:rsidRPr="00095673">
        <w:t>1. The Committee recognizes that the strategic allocation of Portfolio assets across broadly defined financial asset and sub</w:t>
      </w:r>
      <w:r w:rsidR="009400A6">
        <w:t>-</w:t>
      </w:r>
      <w:r w:rsidRPr="00095673">
        <w:t xml:space="preserve">asset categories with varying degrees of risk, return, and return correlation will be the most significant determinant of long-term investment returns and Portfolio asset value stability.  </w:t>
      </w:r>
    </w:p>
    <w:p w14:paraId="76939153" w14:textId="22AB1504" w:rsidR="00095673" w:rsidRPr="00095673" w:rsidRDefault="00095673" w:rsidP="009400A6">
      <w:pPr>
        <w:ind w:left="1440"/>
      </w:pPr>
      <w:r w:rsidRPr="00095673">
        <w:t xml:space="preserve">2. The Committee expects that actual returns and return volatility may vary from expectations and return objectives across short periods of time. While the Committee wishes to retain flexibility with respect to making periodic changes to the Portfolio’s asset allocation, it expects to do so only in the event of material changes to the Fund, to the assumptions underlying Fund spending policies, and/or to the capital markets and asset classes in which the Portfolio invests.  </w:t>
      </w:r>
    </w:p>
    <w:p w14:paraId="556658E2" w14:textId="5AB3AEF5" w:rsidR="00095673" w:rsidRPr="00095673" w:rsidRDefault="00095673" w:rsidP="009400A6">
      <w:pPr>
        <w:ind w:left="1440"/>
      </w:pPr>
      <w:r w:rsidRPr="00095673">
        <w:t>3. Fund assets will be managed as a balanced portfolio composed of two major components: an equity portion and a fixed income portion. The expected role of Fund equity investments will be to maximize the long-term real growth of Portfolio assets, while the role of fixed income investments will be to generate current income, provide for more stable periodic returns, and provide some protection against a prolonged decline in the market value of Portfolio equity investments.</w:t>
      </w:r>
    </w:p>
    <w:p w14:paraId="2D513EB1" w14:textId="6D68C9C4" w:rsidR="00095673" w:rsidRPr="00095673" w:rsidRDefault="00095673" w:rsidP="009400A6">
      <w:pPr>
        <w:ind w:left="1440"/>
      </w:pPr>
      <w:r w:rsidRPr="00095673">
        <w:t xml:space="preserve">4. Cash investments will, under normal circumstances, only be considered as temporary Portfolio holdings, and will be used for Fund liquidity needs or to facilitate a planned program of dollar-cost averaging into investments in either or </w:t>
      </w:r>
      <w:r w:rsidR="009400A6" w:rsidRPr="00095673">
        <w:t>both equity</w:t>
      </w:r>
      <w:r w:rsidRPr="00095673">
        <w:t xml:space="preserve"> and fixed income asset classes.</w:t>
      </w:r>
    </w:p>
    <w:p w14:paraId="4A31804B" w14:textId="54129B35" w:rsidR="00095673" w:rsidRPr="00095673" w:rsidRDefault="00095673" w:rsidP="009400A6">
      <w:pPr>
        <w:ind w:left="1440"/>
      </w:pPr>
      <w:r w:rsidRPr="00095673">
        <w:t xml:space="preserve">5. Outlined below are the long-term strategic asset allocation guidelines, determined by </w:t>
      </w:r>
      <w:r w:rsidR="009400A6" w:rsidRPr="00095673">
        <w:t>the Committee</w:t>
      </w:r>
      <w:r w:rsidRPr="00095673">
        <w:t xml:space="preserve"> to be the most appropriate, given the Fund’s long-term objectives and short-term constraints. Portfolio assets will, under normal circumstances, be allocated across broad asset and sub</w:t>
      </w:r>
      <w:r w:rsidR="009400A6">
        <w:t>-</w:t>
      </w:r>
      <w:r w:rsidRPr="00095673">
        <w:t>asset classes in accordance with the following guidelines:</w:t>
      </w:r>
    </w:p>
    <w:p w14:paraId="3829D291" w14:textId="77777777" w:rsidR="009400A6" w:rsidRPr="00095673" w:rsidRDefault="00095673" w:rsidP="009400A6">
      <w:pPr>
        <w:ind w:left="1440"/>
      </w:pPr>
      <w:r w:rsidRPr="00095673">
        <w:t xml:space="preserve"> </w:t>
      </w:r>
    </w:p>
    <w:tbl>
      <w:tblPr>
        <w:tblStyle w:val="TableGrid"/>
        <w:tblW w:w="0" w:type="auto"/>
        <w:tblInd w:w="1440" w:type="dxa"/>
        <w:tblLook w:val="0460" w:firstRow="1" w:lastRow="1" w:firstColumn="0" w:lastColumn="0" w:noHBand="0" w:noVBand="1"/>
      </w:tblPr>
      <w:tblGrid>
        <w:gridCol w:w="2591"/>
        <w:gridCol w:w="2673"/>
        <w:gridCol w:w="2646"/>
      </w:tblGrid>
      <w:tr w:rsidR="009400A6" w14:paraId="2980EFFC" w14:textId="77777777" w:rsidTr="006036F8">
        <w:tc>
          <w:tcPr>
            <w:tcW w:w="2591" w:type="dxa"/>
          </w:tcPr>
          <w:p w14:paraId="7D5A0535" w14:textId="16A4189A" w:rsidR="009400A6" w:rsidRDefault="009400A6" w:rsidP="009400A6">
            <w:r>
              <w:t>Asset Class</w:t>
            </w:r>
          </w:p>
        </w:tc>
        <w:tc>
          <w:tcPr>
            <w:tcW w:w="2673" w:type="dxa"/>
          </w:tcPr>
          <w:p w14:paraId="0186BF77" w14:textId="41C449AE" w:rsidR="009400A6" w:rsidRDefault="009400A6" w:rsidP="009400A6">
            <w:r>
              <w:t>Sub-Asset Class</w:t>
            </w:r>
          </w:p>
        </w:tc>
        <w:tc>
          <w:tcPr>
            <w:tcW w:w="2646" w:type="dxa"/>
          </w:tcPr>
          <w:p w14:paraId="296BD96D" w14:textId="04BE3B9B" w:rsidR="009400A6" w:rsidRDefault="009400A6" w:rsidP="009400A6">
            <w:r>
              <w:t>Target Allocation</w:t>
            </w:r>
          </w:p>
        </w:tc>
      </w:tr>
      <w:tr w:rsidR="009400A6" w14:paraId="5A2CF996" w14:textId="77777777" w:rsidTr="006036F8">
        <w:tc>
          <w:tcPr>
            <w:tcW w:w="2591" w:type="dxa"/>
          </w:tcPr>
          <w:p w14:paraId="52835D2A" w14:textId="06CDE0BF" w:rsidR="009400A6" w:rsidRDefault="009400A6" w:rsidP="009400A6">
            <w:r>
              <w:t>Equity</w:t>
            </w:r>
          </w:p>
        </w:tc>
        <w:tc>
          <w:tcPr>
            <w:tcW w:w="2673" w:type="dxa"/>
          </w:tcPr>
          <w:p w14:paraId="149A08D0" w14:textId="77777777" w:rsidR="009400A6" w:rsidRDefault="009400A6" w:rsidP="009400A6"/>
        </w:tc>
        <w:tc>
          <w:tcPr>
            <w:tcW w:w="2646" w:type="dxa"/>
          </w:tcPr>
          <w:p w14:paraId="7450C89C" w14:textId="0765F7F4" w:rsidR="009400A6" w:rsidRDefault="009400A6" w:rsidP="009400A6">
            <w:r>
              <w:t>60%</w:t>
            </w:r>
          </w:p>
        </w:tc>
      </w:tr>
      <w:tr w:rsidR="009400A6" w14:paraId="24CB5E81" w14:textId="77777777" w:rsidTr="006036F8">
        <w:tc>
          <w:tcPr>
            <w:tcW w:w="2591" w:type="dxa"/>
          </w:tcPr>
          <w:p w14:paraId="0A6FE582" w14:textId="77777777" w:rsidR="009400A6" w:rsidRDefault="009400A6" w:rsidP="009400A6"/>
        </w:tc>
        <w:tc>
          <w:tcPr>
            <w:tcW w:w="2673" w:type="dxa"/>
          </w:tcPr>
          <w:p w14:paraId="01C462EE" w14:textId="2C5369BE" w:rsidR="009400A6" w:rsidRDefault="009400A6" w:rsidP="009400A6">
            <w:r>
              <w:t>US</w:t>
            </w:r>
          </w:p>
        </w:tc>
        <w:tc>
          <w:tcPr>
            <w:tcW w:w="2646" w:type="dxa"/>
          </w:tcPr>
          <w:p w14:paraId="6613E880" w14:textId="37A8922F" w:rsidR="009400A6" w:rsidRDefault="006036F8" w:rsidP="006036F8">
            <w:pPr>
              <w:ind w:left="720"/>
            </w:pPr>
            <w:r>
              <w:t>35%</w:t>
            </w:r>
          </w:p>
        </w:tc>
      </w:tr>
      <w:tr w:rsidR="009400A6" w14:paraId="2F4715B7" w14:textId="77777777" w:rsidTr="006036F8">
        <w:tc>
          <w:tcPr>
            <w:tcW w:w="2591" w:type="dxa"/>
          </w:tcPr>
          <w:p w14:paraId="28F549D7" w14:textId="77777777" w:rsidR="009400A6" w:rsidRDefault="009400A6" w:rsidP="009400A6"/>
        </w:tc>
        <w:tc>
          <w:tcPr>
            <w:tcW w:w="2673" w:type="dxa"/>
          </w:tcPr>
          <w:p w14:paraId="651E81D0" w14:textId="0DFC38D7" w:rsidR="009400A6" w:rsidRDefault="009400A6" w:rsidP="009400A6">
            <w:r>
              <w:t>Non-US</w:t>
            </w:r>
          </w:p>
        </w:tc>
        <w:tc>
          <w:tcPr>
            <w:tcW w:w="2646" w:type="dxa"/>
          </w:tcPr>
          <w:p w14:paraId="5E66F80E" w14:textId="02CEC9E5" w:rsidR="009400A6" w:rsidRDefault="006036F8" w:rsidP="006036F8">
            <w:pPr>
              <w:ind w:left="720"/>
            </w:pPr>
            <w:r>
              <w:t>25%</w:t>
            </w:r>
          </w:p>
        </w:tc>
      </w:tr>
      <w:tr w:rsidR="009400A6" w14:paraId="1552BA53" w14:textId="77777777" w:rsidTr="006036F8">
        <w:tc>
          <w:tcPr>
            <w:tcW w:w="2591" w:type="dxa"/>
          </w:tcPr>
          <w:p w14:paraId="5518E525" w14:textId="5C4E421D" w:rsidR="009400A6" w:rsidRDefault="009400A6" w:rsidP="009400A6">
            <w:r>
              <w:t>Fixed Income</w:t>
            </w:r>
          </w:p>
        </w:tc>
        <w:tc>
          <w:tcPr>
            <w:tcW w:w="2673" w:type="dxa"/>
          </w:tcPr>
          <w:p w14:paraId="371BAA36" w14:textId="77777777" w:rsidR="009400A6" w:rsidRDefault="009400A6" w:rsidP="009400A6"/>
        </w:tc>
        <w:tc>
          <w:tcPr>
            <w:tcW w:w="2646" w:type="dxa"/>
          </w:tcPr>
          <w:p w14:paraId="3B5DB76E" w14:textId="1095B060" w:rsidR="009400A6" w:rsidRDefault="009400A6" w:rsidP="009400A6">
            <w:r>
              <w:t>40%</w:t>
            </w:r>
          </w:p>
        </w:tc>
      </w:tr>
      <w:tr w:rsidR="006036F8" w14:paraId="101554CA" w14:textId="77777777" w:rsidTr="006036F8">
        <w:tc>
          <w:tcPr>
            <w:tcW w:w="2591" w:type="dxa"/>
          </w:tcPr>
          <w:p w14:paraId="77D8D938" w14:textId="77777777" w:rsidR="006036F8" w:rsidRDefault="006036F8" w:rsidP="009400A6"/>
        </w:tc>
        <w:tc>
          <w:tcPr>
            <w:tcW w:w="2673" w:type="dxa"/>
          </w:tcPr>
          <w:p w14:paraId="5512308E" w14:textId="10A6DD00" w:rsidR="006036F8" w:rsidRDefault="006036F8" w:rsidP="009400A6">
            <w:r>
              <w:t>US</w:t>
            </w:r>
          </w:p>
        </w:tc>
        <w:tc>
          <w:tcPr>
            <w:tcW w:w="2646" w:type="dxa"/>
          </w:tcPr>
          <w:p w14:paraId="35DD9120" w14:textId="32BE97C7" w:rsidR="006036F8" w:rsidRDefault="006036F8" w:rsidP="006036F8">
            <w:pPr>
              <w:ind w:left="720"/>
            </w:pPr>
            <w:r>
              <w:t>28%</w:t>
            </w:r>
          </w:p>
        </w:tc>
      </w:tr>
      <w:tr w:rsidR="006036F8" w14:paraId="7A091206" w14:textId="77777777" w:rsidTr="006036F8">
        <w:tc>
          <w:tcPr>
            <w:tcW w:w="2591" w:type="dxa"/>
          </w:tcPr>
          <w:p w14:paraId="1165147F" w14:textId="77777777" w:rsidR="006036F8" w:rsidRDefault="006036F8" w:rsidP="009400A6"/>
        </w:tc>
        <w:tc>
          <w:tcPr>
            <w:tcW w:w="2673" w:type="dxa"/>
          </w:tcPr>
          <w:p w14:paraId="6DD01869" w14:textId="7F1A166F" w:rsidR="006036F8" w:rsidRDefault="006036F8" w:rsidP="009400A6">
            <w:r>
              <w:t>Non-US</w:t>
            </w:r>
          </w:p>
        </w:tc>
        <w:tc>
          <w:tcPr>
            <w:tcW w:w="2646" w:type="dxa"/>
          </w:tcPr>
          <w:p w14:paraId="634570E6" w14:textId="104EA267" w:rsidR="006036F8" w:rsidRDefault="006036F8" w:rsidP="006036F8">
            <w:pPr>
              <w:ind w:left="720"/>
            </w:pPr>
            <w:r>
              <w:t>12%</w:t>
            </w:r>
          </w:p>
        </w:tc>
      </w:tr>
      <w:tr w:rsidR="006036F8" w14:paraId="4E96DE5D" w14:textId="77777777" w:rsidTr="00050248">
        <w:tc>
          <w:tcPr>
            <w:tcW w:w="2591" w:type="dxa"/>
          </w:tcPr>
          <w:p w14:paraId="21C2C0F2" w14:textId="299749D6" w:rsidR="006036F8" w:rsidRDefault="006036F8" w:rsidP="009400A6">
            <w:r>
              <w:t>Cash</w:t>
            </w:r>
          </w:p>
        </w:tc>
        <w:tc>
          <w:tcPr>
            <w:tcW w:w="2673" w:type="dxa"/>
          </w:tcPr>
          <w:p w14:paraId="4770BFA2" w14:textId="2BF84F2A" w:rsidR="006036F8" w:rsidRDefault="006036F8" w:rsidP="009400A6"/>
        </w:tc>
        <w:tc>
          <w:tcPr>
            <w:tcW w:w="2646" w:type="dxa"/>
          </w:tcPr>
          <w:p w14:paraId="4B747AC6" w14:textId="7001CF7A" w:rsidR="006036F8" w:rsidRDefault="006036F8" w:rsidP="009400A6">
            <w:r>
              <w:t>0%</w:t>
            </w:r>
          </w:p>
        </w:tc>
      </w:tr>
    </w:tbl>
    <w:p w14:paraId="54A0A94A" w14:textId="41E4B0FE" w:rsidR="00095673" w:rsidRPr="00095673" w:rsidRDefault="00095673" w:rsidP="006036F8">
      <w:r w:rsidRPr="00095673">
        <w:t xml:space="preserve"> </w:t>
      </w:r>
    </w:p>
    <w:p w14:paraId="5B2BC6C1" w14:textId="5C8E494C" w:rsidR="00095673" w:rsidRPr="00095673" w:rsidRDefault="00095673" w:rsidP="009400A6">
      <w:pPr>
        <w:ind w:left="1440"/>
      </w:pPr>
      <w:r w:rsidRPr="00095673">
        <w:t xml:space="preserve">6. To the extent the Portfolio holds investments in nontraditional, illiquid, and/or nonmarketable securities including (but not limited to) venture capital, hedge funds, and real estate investments, these assets will be treated collectively as alternative investments for purposes of </w:t>
      </w:r>
      <w:r w:rsidR="009400A6" w:rsidRPr="00095673">
        <w:t>measuring the</w:t>
      </w:r>
      <w:r w:rsidRPr="00095673">
        <w:t xml:space="preserve"> Portfolio’s asset allocation. While not specifically considered within this policy, </w:t>
      </w:r>
      <w:r w:rsidR="009400A6" w:rsidRPr="00095673">
        <w:t>alternative investments</w:t>
      </w:r>
      <w:r w:rsidRPr="00095673">
        <w:t xml:space="preserve"> may comprise no more than 15% of total Portfolio assets and, to the extent they are owned, will proportionately reduce target allocations to the three primary asset </w:t>
      </w:r>
      <w:r w:rsidR="009400A6" w:rsidRPr="00095673">
        <w:t>classes itemized</w:t>
      </w:r>
      <w:r w:rsidRPr="00095673">
        <w:t xml:space="preserve"> above</w:t>
      </w:r>
      <w:r w:rsidR="009400A6">
        <w:t>.</w:t>
      </w:r>
    </w:p>
    <w:p w14:paraId="2650A735" w14:textId="70F0D0D6" w:rsidR="00333CA5" w:rsidRDefault="00333CA5" w:rsidP="009400A6">
      <w:pPr>
        <w:ind w:left="720"/>
      </w:pPr>
    </w:p>
    <w:p w14:paraId="5B1CE26F" w14:textId="7D66C8F3" w:rsidR="00333CA5" w:rsidRDefault="00333CA5" w:rsidP="006036F8">
      <w:pPr>
        <w:ind w:left="720"/>
      </w:pPr>
      <w:r>
        <w:t>B. Diversification policy</w:t>
      </w:r>
    </w:p>
    <w:p w14:paraId="64402827" w14:textId="1AA9E140" w:rsidR="00333CA5" w:rsidRDefault="00333CA5" w:rsidP="006036F8">
      <w:pPr>
        <w:ind w:left="1440"/>
      </w:pPr>
      <w:r>
        <w:t>1. Diversification across and within asset classes is the primary means by which the Committee</w:t>
      </w:r>
      <w:r w:rsidR="006036F8">
        <w:t xml:space="preserve"> </w:t>
      </w:r>
      <w:r>
        <w:t>expects the Portfolio to avoid undue risk of large losses over long time periods. To protect the Portfolio against unfavorable outcomes within an asset class due to the assumption of large risks, the Committee will take reasonable precautions to avoid excessive investment concentrations. Specifically, the following guidelines will be in place:</w:t>
      </w:r>
    </w:p>
    <w:p w14:paraId="2895A0E8" w14:textId="554876DC" w:rsidR="00333CA5" w:rsidRDefault="00333CA5" w:rsidP="006036F8">
      <w:pPr>
        <w:ind w:left="1440"/>
      </w:pPr>
      <w:r>
        <w:t>a) With the exception of fixed income investments explicitly guaranteed by the U.S. government, no single investment security shall represent more than 5% of total Portfolio assets.</w:t>
      </w:r>
    </w:p>
    <w:p w14:paraId="168CC1A3" w14:textId="3774760A" w:rsidR="00333CA5" w:rsidRDefault="00333CA5" w:rsidP="006036F8">
      <w:pPr>
        <w:ind w:left="1440"/>
      </w:pPr>
      <w:r>
        <w:t xml:space="preserve">b) With the exception of passively managed investment vehicles seeking to match the returns on a broadly diversified market index, no single investment pool or investment </w:t>
      </w:r>
      <w:proofErr w:type="gramStart"/>
      <w:r>
        <w:t>company  (</w:t>
      </w:r>
      <w:proofErr w:type="gramEnd"/>
      <w:r>
        <w:t>mutual fund) shall comprise more than 20% of total Portfolio assets.</w:t>
      </w:r>
    </w:p>
    <w:p w14:paraId="6427E167" w14:textId="3F8FD524" w:rsidR="00333CA5" w:rsidRDefault="00333CA5" w:rsidP="006036F8">
      <w:pPr>
        <w:ind w:left="1440"/>
      </w:pPr>
      <w:r>
        <w:t xml:space="preserve">c) With respect to fixed income investments, for individual bonds, the minimum average credit quality of these investments shall be investment grade (Standard &amp; Poor’s BBB or Moody’s Baa or higher).  </w:t>
      </w:r>
    </w:p>
    <w:p w14:paraId="68FF0C53" w14:textId="77777777" w:rsidR="00333CA5" w:rsidRDefault="00333CA5" w:rsidP="009400A6">
      <w:pPr>
        <w:ind w:left="720"/>
      </w:pPr>
      <w:r>
        <w:t xml:space="preserve">C.  Rebalancing  </w:t>
      </w:r>
    </w:p>
    <w:p w14:paraId="26311D79" w14:textId="68F80440" w:rsidR="00333CA5" w:rsidRDefault="00333CA5" w:rsidP="006036F8">
      <w:pPr>
        <w:ind w:left="720"/>
      </w:pPr>
      <w:r>
        <w:t>It is expected that the Portfolio’s actual asset allocation will vary from its target asset allocation as a result of the varying periodic returns earned on its investments in different asset and sub</w:t>
      </w:r>
      <w:r w:rsidR="006036F8">
        <w:t>-</w:t>
      </w:r>
      <w:r>
        <w:t>asset classes. The Portfolio will be rebalanced to its target normal asset allocation under the following procedures:</w:t>
      </w:r>
    </w:p>
    <w:p w14:paraId="1CBFC598" w14:textId="00CD2917" w:rsidR="00333CA5" w:rsidRDefault="00333CA5" w:rsidP="006036F8">
      <w:pPr>
        <w:ind w:left="1440"/>
      </w:pPr>
      <w:r>
        <w:t>1. The investment manager will use incoming cash flow (contributions) or outgoing money movements (disbursements) of the Portfolio to realign the current weightings closer to the target weightings for the Portfolio.</w:t>
      </w:r>
    </w:p>
    <w:p w14:paraId="3AE3154C" w14:textId="0615F138" w:rsidR="00333CA5" w:rsidRDefault="00333CA5" w:rsidP="006036F8">
      <w:pPr>
        <w:ind w:left="1440"/>
      </w:pPr>
      <w:r>
        <w:lastRenderedPageBreak/>
        <w:t>2. The investment manager will review the Portfolio semiannually (June 30 and December 31) to determine the deviation from target weightings. During each semiannual review, the following parameters will be applied:</w:t>
      </w:r>
    </w:p>
    <w:p w14:paraId="330E695C" w14:textId="48362759" w:rsidR="00333CA5" w:rsidRDefault="00333CA5" w:rsidP="006036F8">
      <w:pPr>
        <w:ind w:left="2160"/>
      </w:pPr>
      <w:r>
        <w:t xml:space="preserve"> a) If any asset class (equity or fixed income) within the Portfolio is +/–5 percentage points from its target weighting, the Portfolio will be rebalanced.</w:t>
      </w:r>
    </w:p>
    <w:p w14:paraId="44CA4B04" w14:textId="7AEB3061" w:rsidR="00333CA5" w:rsidRDefault="00333CA5" w:rsidP="006036F8">
      <w:pPr>
        <w:ind w:left="2160"/>
      </w:pPr>
      <w:r>
        <w:t>b) If any fund within the Portfolio has increased or decreased by greater than 20% of its target weighting, the fund will be rebalanced.</w:t>
      </w:r>
    </w:p>
    <w:p w14:paraId="1FACB7FD" w14:textId="77777777" w:rsidR="00333CA5" w:rsidRDefault="00333CA5" w:rsidP="006036F8">
      <w:pPr>
        <w:ind w:left="1440"/>
      </w:pPr>
      <w:r>
        <w:t>3. The investment manager may provide a rebalancing recommendation at any time.</w:t>
      </w:r>
    </w:p>
    <w:p w14:paraId="6DEA5873" w14:textId="24DB9491" w:rsidR="00333CA5" w:rsidRDefault="00333CA5" w:rsidP="006036F8">
      <w:pPr>
        <w:ind w:left="1440"/>
      </w:pPr>
      <w:r>
        <w:t xml:space="preserve">4. The investment manager shall act within a reasonable </w:t>
      </w:r>
      <w:r w:rsidR="006036F8">
        <w:t>period</w:t>
      </w:r>
      <w:r>
        <w:t xml:space="preserve"> to evaluate deviation from these ranges.</w:t>
      </w:r>
    </w:p>
    <w:p w14:paraId="66ADFAF8" w14:textId="16DF3441" w:rsidR="00333CA5" w:rsidRDefault="00333CA5" w:rsidP="009400A6">
      <w:pPr>
        <w:ind w:left="720"/>
      </w:pPr>
      <w:r>
        <w:t>D. Other investment policies</w:t>
      </w:r>
    </w:p>
    <w:p w14:paraId="3B81F554" w14:textId="77777777" w:rsidR="00333CA5" w:rsidRDefault="00333CA5" w:rsidP="009400A6">
      <w:pPr>
        <w:ind w:left="720"/>
      </w:pPr>
      <w:r>
        <w:t xml:space="preserve">Unless expressly authorized by the Committee, the Portfolio and its investment managers are  </w:t>
      </w:r>
    </w:p>
    <w:p w14:paraId="03AD6D50" w14:textId="77777777" w:rsidR="00333CA5" w:rsidRDefault="00333CA5" w:rsidP="009400A6">
      <w:pPr>
        <w:ind w:left="720"/>
      </w:pPr>
      <w:r>
        <w:t>prohibited from:</w:t>
      </w:r>
    </w:p>
    <w:p w14:paraId="2F4748B7" w14:textId="77777777" w:rsidR="00333CA5" w:rsidRDefault="00333CA5" w:rsidP="006036F8">
      <w:pPr>
        <w:ind w:left="1440"/>
      </w:pPr>
      <w:r>
        <w:t>1. Purchasing securities on margin or executing short sales.</w:t>
      </w:r>
    </w:p>
    <w:p w14:paraId="5CBD663A" w14:textId="77777777" w:rsidR="00333CA5" w:rsidRDefault="00333CA5" w:rsidP="006036F8">
      <w:pPr>
        <w:ind w:left="1440"/>
      </w:pPr>
      <w:r>
        <w:t>2. Pledging or hypothecating securities, except for loans of securities that are fully collateralized.</w:t>
      </w:r>
    </w:p>
    <w:p w14:paraId="69079F6D" w14:textId="77777777" w:rsidR="00333CA5" w:rsidRDefault="00333CA5" w:rsidP="006036F8">
      <w:pPr>
        <w:ind w:left="1440"/>
      </w:pPr>
      <w:r>
        <w:t>3. Purchasing or selling derivative securities for speculation or leverage.</w:t>
      </w:r>
    </w:p>
    <w:p w14:paraId="7BEBFD9D" w14:textId="0BE45039" w:rsidR="00015D2F" w:rsidRDefault="00333CA5" w:rsidP="006036F8">
      <w:pPr>
        <w:ind w:left="1440"/>
      </w:pPr>
      <w:r>
        <w:t>4. Engaging in investment strategies that have the potential to amplify or distort the risk of loss beyond a level that is reasonably expected, given the objectives of their Portfolio.</w:t>
      </w:r>
    </w:p>
    <w:p w14:paraId="39E52EDB" w14:textId="77777777" w:rsidR="00333CA5" w:rsidRDefault="00333CA5" w:rsidP="006036F8">
      <w:pPr>
        <w:pStyle w:val="Heading1"/>
      </w:pPr>
      <w:r>
        <w:t>V. Monitoring portfolio investments and performance</w:t>
      </w:r>
    </w:p>
    <w:p w14:paraId="08ACDD5B" w14:textId="53B17FDE" w:rsidR="00333CA5" w:rsidRDefault="00333CA5" w:rsidP="00333CA5">
      <w:r>
        <w:t xml:space="preserve">The Committee will monitor the Portfolio’s investment performance against the Portfolio’s stated investment objectives.  At a frequency to be decided by the Committee, it will formally assess the Portfolio and the performance of its underlying investments as follows: </w:t>
      </w:r>
    </w:p>
    <w:p w14:paraId="7FFAA66E" w14:textId="58E6A261" w:rsidR="00333CA5" w:rsidRDefault="00333CA5" w:rsidP="006036F8">
      <w:pPr>
        <w:ind w:left="720"/>
      </w:pPr>
      <w:r>
        <w:t xml:space="preserve">A. The Portfolio’s composite investment performance (net of fees) will be judged against </w:t>
      </w:r>
      <w:proofErr w:type="gramStart"/>
      <w:r>
        <w:t>the  following</w:t>
      </w:r>
      <w:proofErr w:type="gramEnd"/>
      <w:r>
        <w:t xml:space="preserve"> standards:</w:t>
      </w:r>
    </w:p>
    <w:p w14:paraId="4DCFB662" w14:textId="77777777" w:rsidR="00333CA5" w:rsidRDefault="00333CA5" w:rsidP="006036F8">
      <w:pPr>
        <w:ind w:left="1440"/>
      </w:pPr>
      <w:r>
        <w:t>1. The Portfolio’s absolute long-term real return objective.</w:t>
      </w:r>
    </w:p>
    <w:p w14:paraId="515EB2C8" w14:textId="0C8F9E28" w:rsidR="00333CA5" w:rsidRDefault="00333CA5" w:rsidP="006036F8">
      <w:pPr>
        <w:ind w:left="1440"/>
      </w:pPr>
      <w:r>
        <w:t>2. A composite benchmark consisting of the following unmanaged market indexes weighted according to the expected target asset allocations stipulated by the Portfolio’s investment guidelines.</w:t>
      </w:r>
    </w:p>
    <w:p w14:paraId="6EE8CDF4" w14:textId="7CB32C9C" w:rsidR="00333CA5" w:rsidRDefault="00333CA5" w:rsidP="00E22AA6">
      <w:pPr>
        <w:ind w:left="2160"/>
      </w:pPr>
      <w:r>
        <w:t>a) U.S. Equity: Wilshire 5000 Total Market Index</w:t>
      </w:r>
    </w:p>
    <w:p w14:paraId="3D492575" w14:textId="00C352D7" w:rsidR="00333CA5" w:rsidRDefault="00333CA5" w:rsidP="00E22AA6">
      <w:pPr>
        <w:ind w:left="2160"/>
      </w:pPr>
      <w:r>
        <w:t>b) Non-U.S. Equity: MSCI EAFE +EM Index</w:t>
      </w:r>
    </w:p>
    <w:p w14:paraId="302CB720" w14:textId="604DA073" w:rsidR="00333CA5" w:rsidRDefault="00333CA5" w:rsidP="00E22AA6">
      <w:pPr>
        <w:ind w:left="2160"/>
      </w:pPr>
      <w:r>
        <w:t>c) Investment Grade Fixed Income: Barclays Capital U.S. Aggregate Bond Index</w:t>
      </w:r>
    </w:p>
    <w:p w14:paraId="6E59059B" w14:textId="1D114B46" w:rsidR="00333CA5" w:rsidRDefault="00333CA5" w:rsidP="00E22AA6">
      <w:pPr>
        <w:ind w:left="2160"/>
      </w:pPr>
      <w:r>
        <w:lastRenderedPageBreak/>
        <w:t>d) Non-Investment Grade Fixed Income: Barclays Capital U.S. Corporate High Yield Bond Index</w:t>
      </w:r>
    </w:p>
    <w:p w14:paraId="6EFCF806" w14:textId="3B818629" w:rsidR="00333CA5" w:rsidRDefault="00333CA5" w:rsidP="00E22AA6">
      <w:pPr>
        <w:ind w:left="2160"/>
      </w:pPr>
      <w:r>
        <w:t>e) Cash: Citigroup 3-Month T-Bill Index</w:t>
      </w:r>
    </w:p>
    <w:p w14:paraId="0415756F" w14:textId="6519052C" w:rsidR="00333CA5" w:rsidRDefault="00333CA5" w:rsidP="00E22AA6">
      <w:pPr>
        <w:ind w:left="720"/>
      </w:pPr>
      <w:r>
        <w:t>B. The performance of professional investment managers hired on behalf of the Portfolio will be</w:t>
      </w:r>
      <w:r w:rsidR="00E22AA6">
        <w:t xml:space="preserve"> </w:t>
      </w:r>
      <w:r>
        <w:t>judged against the following standards:</w:t>
      </w:r>
    </w:p>
    <w:p w14:paraId="2785BE51" w14:textId="6AAE4F6C" w:rsidR="00333CA5" w:rsidRDefault="00333CA5" w:rsidP="00E22AA6">
      <w:pPr>
        <w:ind w:left="1440"/>
      </w:pPr>
      <w:r>
        <w:t>1. A market-based index appropriately selected or tailored to the manager’s agreed-upon investment objective and the normal investment characteristics of the manager’s portfolio.</w:t>
      </w:r>
    </w:p>
    <w:p w14:paraId="50E2FC85" w14:textId="77777777" w:rsidR="00333CA5" w:rsidRDefault="00333CA5" w:rsidP="00E22AA6">
      <w:pPr>
        <w:ind w:left="1440"/>
      </w:pPr>
      <w:r>
        <w:t>2. The performance of other investment managers having similar investment objectives.</w:t>
      </w:r>
    </w:p>
    <w:p w14:paraId="15EE9E28" w14:textId="68481EFA" w:rsidR="00333CA5" w:rsidRDefault="00333CA5" w:rsidP="00E22AA6">
      <w:pPr>
        <w:ind w:left="720"/>
      </w:pPr>
      <w:r>
        <w:t>C. In keeping with the Portfolio’s overall long-term financial objective, the Committee will evaluate</w:t>
      </w:r>
      <w:r w:rsidR="00E22AA6">
        <w:t xml:space="preserve"> </w:t>
      </w:r>
      <w:r>
        <w:t xml:space="preserve">Portfolio and manager performance over a suitably long-term investment horizon, generally across full market cycles or, at a minimum, on a rolling five-year basis.   </w:t>
      </w:r>
    </w:p>
    <w:p w14:paraId="18571507" w14:textId="011B6098" w:rsidR="00333CA5" w:rsidRDefault="00333CA5" w:rsidP="00E22AA6">
      <w:pPr>
        <w:ind w:left="720"/>
      </w:pPr>
      <w:r>
        <w:t>D.  Investment reports shall be provided by the investment manager(s) on a (calendar) quarterly basis or as more frequently requested by the Committee. Each investment manager is expected to be available to meet with the Investment Committee once per year to review portfolio structure</w:t>
      </w:r>
      <w:proofErr w:type="gramStart"/>
      <w:r>
        <w:t>,  strategy</w:t>
      </w:r>
      <w:proofErr w:type="gramEnd"/>
      <w:r>
        <w:t>, and investment performance.</w:t>
      </w:r>
    </w:p>
    <w:sectPr w:rsidR="00333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_d0_f1">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673"/>
    <w:rsid w:val="00015D2F"/>
    <w:rsid w:val="00095673"/>
    <w:rsid w:val="00187301"/>
    <w:rsid w:val="00333CA5"/>
    <w:rsid w:val="006036F8"/>
    <w:rsid w:val="009400A6"/>
    <w:rsid w:val="00D51B31"/>
    <w:rsid w:val="00E2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3C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CA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33CA5"/>
    <w:pPr>
      <w:ind w:left="720"/>
      <w:contextualSpacing/>
    </w:pPr>
  </w:style>
  <w:style w:type="table" w:styleId="TableGrid">
    <w:name w:val="Table Grid"/>
    <w:basedOn w:val="TableNormal"/>
    <w:uiPriority w:val="39"/>
    <w:rsid w:val="0094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3C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CA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33CA5"/>
    <w:pPr>
      <w:ind w:left="720"/>
      <w:contextualSpacing/>
    </w:pPr>
  </w:style>
  <w:style w:type="table" w:styleId="TableGrid">
    <w:name w:val="Table Grid"/>
    <w:basedOn w:val="TableNormal"/>
    <w:uiPriority w:val="39"/>
    <w:rsid w:val="0094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610924">
      <w:bodyDiv w:val="1"/>
      <w:marLeft w:val="0"/>
      <w:marRight w:val="0"/>
      <w:marTop w:val="0"/>
      <w:marBottom w:val="0"/>
      <w:divBdr>
        <w:top w:val="none" w:sz="0" w:space="0" w:color="auto"/>
        <w:left w:val="none" w:sz="0" w:space="0" w:color="auto"/>
        <w:bottom w:val="none" w:sz="0" w:space="0" w:color="auto"/>
        <w:right w:val="none" w:sz="0" w:space="0" w:color="auto"/>
      </w:divBdr>
      <w:divsChild>
        <w:div w:id="1845583399">
          <w:marLeft w:val="0"/>
          <w:marRight w:val="0"/>
          <w:marTop w:val="0"/>
          <w:marBottom w:val="0"/>
          <w:divBdr>
            <w:top w:val="none" w:sz="0" w:space="0" w:color="auto"/>
            <w:left w:val="none" w:sz="0" w:space="0" w:color="auto"/>
            <w:bottom w:val="none" w:sz="0" w:space="0" w:color="auto"/>
            <w:right w:val="none" w:sz="0" w:space="0" w:color="auto"/>
          </w:divBdr>
          <w:divsChild>
            <w:div w:id="1508592938">
              <w:marLeft w:val="0"/>
              <w:marRight w:val="0"/>
              <w:marTop w:val="0"/>
              <w:marBottom w:val="0"/>
              <w:divBdr>
                <w:top w:val="none" w:sz="0" w:space="0" w:color="auto"/>
                <w:left w:val="none" w:sz="0" w:space="0" w:color="auto"/>
                <w:bottom w:val="none" w:sz="0" w:space="0" w:color="auto"/>
                <w:right w:val="none" w:sz="0" w:space="0" w:color="auto"/>
              </w:divBdr>
              <w:divsChild>
                <w:div w:id="361637204">
                  <w:marLeft w:val="0"/>
                  <w:marRight w:val="0"/>
                  <w:marTop w:val="0"/>
                  <w:marBottom w:val="0"/>
                  <w:divBdr>
                    <w:top w:val="none" w:sz="0" w:space="0" w:color="auto"/>
                    <w:left w:val="none" w:sz="0" w:space="0" w:color="auto"/>
                    <w:bottom w:val="none" w:sz="0" w:space="0" w:color="auto"/>
                    <w:right w:val="none" w:sz="0" w:space="0" w:color="auto"/>
                  </w:divBdr>
                  <w:divsChild>
                    <w:div w:id="1732847627">
                      <w:marLeft w:val="0"/>
                      <w:marRight w:val="0"/>
                      <w:marTop w:val="0"/>
                      <w:marBottom w:val="0"/>
                      <w:divBdr>
                        <w:top w:val="none" w:sz="0" w:space="0" w:color="auto"/>
                        <w:left w:val="none" w:sz="0" w:space="0" w:color="auto"/>
                        <w:bottom w:val="none" w:sz="0" w:space="0" w:color="auto"/>
                        <w:right w:val="none" w:sz="0" w:space="0" w:color="auto"/>
                      </w:divBdr>
                    </w:div>
                    <w:div w:id="1314605454">
                      <w:marLeft w:val="0"/>
                      <w:marRight w:val="0"/>
                      <w:marTop w:val="0"/>
                      <w:marBottom w:val="0"/>
                      <w:divBdr>
                        <w:top w:val="none" w:sz="0" w:space="0" w:color="auto"/>
                        <w:left w:val="none" w:sz="0" w:space="0" w:color="auto"/>
                        <w:bottom w:val="none" w:sz="0" w:space="0" w:color="auto"/>
                        <w:right w:val="none" w:sz="0" w:space="0" w:color="auto"/>
                      </w:divBdr>
                    </w:div>
                    <w:div w:id="1710180325">
                      <w:marLeft w:val="0"/>
                      <w:marRight w:val="0"/>
                      <w:marTop w:val="0"/>
                      <w:marBottom w:val="0"/>
                      <w:divBdr>
                        <w:top w:val="none" w:sz="0" w:space="0" w:color="auto"/>
                        <w:left w:val="none" w:sz="0" w:space="0" w:color="auto"/>
                        <w:bottom w:val="none" w:sz="0" w:space="0" w:color="auto"/>
                        <w:right w:val="none" w:sz="0" w:space="0" w:color="auto"/>
                      </w:divBdr>
                    </w:div>
                    <w:div w:id="1143232129">
                      <w:marLeft w:val="0"/>
                      <w:marRight w:val="0"/>
                      <w:marTop w:val="0"/>
                      <w:marBottom w:val="0"/>
                      <w:divBdr>
                        <w:top w:val="none" w:sz="0" w:space="0" w:color="auto"/>
                        <w:left w:val="none" w:sz="0" w:space="0" w:color="auto"/>
                        <w:bottom w:val="none" w:sz="0" w:space="0" w:color="auto"/>
                        <w:right w:val="none" w:sz="0" w:space="0" w:color="auto"/>
                      </w:divBdr>
                    </w:div>
                    <w:div w:id="580330458">
                      <w:marLeft w:val="0"/>
                      <w:marRight w:val="0"/>
                      <w:marTop w:val="0"/>
                      <w:marBottom w:val="0"/>
                      <w:divBdr>
                        <w:top w:val="none" w:sz="0" w:space="0" w:color="auto"/>
                        <w:left w:val="none" w:sz="0" w:space="0" w:color="auto"/>
                        <w:bottom w:val="none" w:sz="0" w:space="0" w:color="auto"/>
                        <w:right w:val="none" w:sz="0" w:space="0" w:color="auto"/>
                      </w:divBdr>
                    </w:div>
                    <w:div w:id="128128717">
                      <w:marLeft w:val="0"/>
                      <w:marRight w:val="0"/>
                      <w:marTop w:val="0"/>
                      <w:marBottom w:val="0"/>
                      <w:divBdr>
                        <w:top w:val="none" w:sz="0" w:space="0" w:color="auto"/>
                        <w:left w:val="none" w:sz="0" w:space="0" w:color="auto"/>
                        <w:bottom w:val="none" w:sz="0" w:space="0" w:color="auto"/>
                        <w:right w:val="none" w:sz="0" w:space="0" w:color="auto"/>
                      </w:divBdr>
                    </w:div>
                    <w:div w:id="1162618906">
                      <w:marLeft w:val="0"/>
                      <w:marRight w:val="0"/>
                      <w:marTop w:val="0"/>
                      <w:marBottom w:val="0"/>
                      <w:divBdr>
                        <w:top w:val="none" w:sz="0" w:space="0" w:color="auto"/>
                        <w:left w:val="none" w:sz="0" w:space="0" w:color="auto"/>
                        <w:bottom w:val="none" w:sz="0" w:space="0" w:color="auto"/>
                        <w:right w:val="none" w:sz="0" w:space="0" w:color="auto"/>
                      </w:divBdr>
                    </w:div>
                    <w:div w:id="144856464">
                      <w:marLeft w:val="0"/>
                      <w:marRight w:val="0"/>
                      <w:marTop w:val="0"/>
                      <w:marBottom w:val="0"/>
                      <w:divBdr>
                        <w:top w:val="none" w:sz="0" w:space="0" w:color="auto"/>
                        <w:left w:val="none" w:sz="0" w:space="0" w:color="auto"/>
                        <w:bottom w:val="none" w:sz="0" w:space="0" w:color="auto"/>
                        <w:right w:val="none" w:sz="0" w:space="0" w:color="auto"/>
                      </w:divBdr>
                    </w:div>
                    <w:div w:id="630669941">
                      <w:marLeft w:val="0"/>
                      <w:marRight w:val="0"/>
                      <w:marTop w:val="0"/>
                      <w:marBottom w:val="0"/>
                      <w:divBdr>
                        <w:top w:val="none" w:sz="0" w:space="0" w:color="auto"/>
                        <w:left w:val="none" w:sz="0" w:space="0" w:color="auto"/>
                        <w:bottom w:val="none" w:sz="0" w:space="0" w:color="auto"/>
                        <w:right w:val="none" w:sz="0" w:space="0" w:color="auto"/>
                      </w:divBdr>
                    </w:div>
                    <w:div w:id="630789095">
                      <w:marLeft w:val="0"/>
                      <w:marRight w:val="0"/>
                      <w:marTop w:val="0"/>
                      <w:marBottom w:val="0"/>
                      <w:divBdr>
                        <w:top w:val="none" w:sz="0" w:space="0" w:color="auto"/>
                        <w:left w:val="none" w:sz="0" w:space="0" w:color="auto"/>
                        <w:bottom w:val="none" w:sz="0" w:space="0" w:color="auto"/>
                        <w:right w:val="none" w:sz="0" w:space="0" w:color="auto"/>
                      </w:divBdr>
                    </w:div>
                    <w:div w:id="524486677">
                      <w:marLeft w:val="0"/>
                      <w:marRight w:val="0"/>
                      <w:marTop w:val="0"/>
                      <w:marBottom w:val="0"/>
                      <w:divBdr>
                        <w:top w:val="none" w:sz="0" w:space="0" w:color="auto"/>
                        <w:left w:val="none" w:sz="0" w:space="0" w:color="auto"/>
                        <w:bottom w:val="none" w:sz="0" w:space="0" w:color="auto"/>
                        <w:right w:val="none" w:sz="0" w:space="0" w:color="auto"/>
                      </w:divBdr>
                    </w:div>
                    <w:div w:id="500505828">
                      <w:marLeft w:val="0"/>
                      <w:marRight w:val="0"/>
                      <w:marTop w:val="0"/>
                      <w:marBottom w:val="0"/>
                      <w:divBdr>
                        <w:top w:val="none" w:sz="0" w:space="0" w:color="auto"/>
                        <w:left w:val="none" w:sz="0" w:space="0" w:color="auto"/>
                        <w:bottom w:val="none" w:sz="0" w:space="0" w:color="auto"/>
                        <w:right w:val="none" w:sz="0" w:space="0" w:color="auto"/>
                      </w:divBdr>
                    </w:div>
                    <w:div w:id="1892030679">
                      <w:marLeft w:val="0"/>
                      <w:marRight w:val="0"/>
                      <w:marTop w:val="0"/>
                      <w:marBottom w:val="0"/>
                      <w:divBdr>
                        <w:top w:val="none" w:sz="0" w:space="0" w:color="auto"/>
                        <w:left w:val="none" w:sz="0" w:space="0" w:color="auto"/>
                        <w:bottom w:val="none" w:sz="0" w:space="0" w:color="auto"/>
                        <w:right w:val="none" w:sz="0" w:space="0" w:color="auto"/>
                      </w:divBdr>
                    </w:div>
                    <w:div w:id="297338533">
                      <w:marLeft w:val="0"/>
                      <w:marRight w:val="0"/>
                      <w:marTop w:val="0"/>
                      <w:marBottom w:val="0"/>
                      <w:divBdr>
                        <w:top w:val="none" w:sz="0" w:space="0" w:color="auto"/>
                        <w:left w:val="none" w:sz="0" w:space="0" w:color="auto"/>
                        <w:bottom w:val="none" w:sz="0" w:space="0" w:color="auto"/>
                        <w:right w:val="none" w:sz="0" w:space="0" w:color="auto"/>
                      </w:divBdr>
                    </w:div>
                    <w:div w:id="1697198459">
                      <w:marLeft w:val="0"/>
                      <w:marRight w:val="0"/>
                      <w:marTop w:val="0"/>
                      <w:marBottom w:val="0"/>
                      <w:divBdr>
                        <w:top w:val="none" w:sz="0" w:space="0" w:color="auto"/>
                        <w:left w:val="none" w:sz="0" w:space="0" w:color="auto"/>
                        <w:bottom w:val="none" w:sz="0" w:space="0" w:color="auto"/>
                        <w:right w:val="none" w:sz="0" w:space="0" w:color="auto"/>
                      </w:divBdr>
                    </w:div>
                    <w:div w:id="1542396651">
                      <w:marLeft w:val="0"/>
                      <w:marRight w:val="0"/>
                      <w:marTop w:val="0"/>
                      <w:marBottom w:val="0"/>
                      <w:divBdr>
                        <w:top w:val="none" w:sz="0" w:space="0" w:color="auto"/>
                        <w:left w:val="none" w:sz="0" w:space="0" w:color="auto"/>
                        <w:bottom w:val="none" w:sz="0" w:space="0" w:color="auto"/>
                        <w:right w:val="none" w:sz="0" w:space="0" w:color="auto"/>
                      </w:divBdr>
                    </w:div>
                    <w:div w:id="904267146">
                      <w:marLeft w:val="0"/>
                      <w:marRight w:val="0"/>
                      <w:marTop w:val="0"/>
                      <w:marBottom w:val="0"/>
                      <w:divBdr>
                        <w:top w:val="none" w:sz="0" w:space="0" w:color="auto"/>
                        <w:left w:val="none" w:sz="0" w:space="0" w:color="auto"/>
                        <w:bottom w:val="none" w:sz="0" w:space="0" w:color="auto"/>
                        <w:right w:val="none" w:sz="0" w:space="0" w:color="auto"/>
                      </w:divBdr>
                    </w:div>
                    <w:div w:id="2018388706">
                      <w:marLeft w:val="0"/>
                      <w:marRight w:val="0"/>
                      <w:marTop w:val="0"/>
                      <w:marBottom w:val="0"/>
                      <w:divBdr>
                        <w:top w:val="none" w:sz="0" w:space="0" w:color="auto"/>
                        <w:left w:val="none" w:sz="0" w:space="0" w:color="auto"/>
                        <w:bottom w:val="none" w:sz="0" w:space="0" w:color="auto"/>
                        <w:right w:val="none" w:sz="0" w:space="0" w:color="auto"/>
                      </w:divBdr>
                    </w:div>
                    <w:div w:id="1123384265">
                      <w:marLeft w:val="0"/>
                      <w:marRight w:val="0"/>
                      <w:marTop w:val="0"/>
                      <w:marBottom w:val="0"/>
                      <w:divBdr>
                        <w:top w:val="none" w:sz="0" w:space="0" w:color="auto"/>
                        <w:left w:val="none" w:sz="0" w:space="0" w:color="auto"/>
                        <w:bottom w:val="none" w:sz="0" w:space="0" w:color="auto"/>
                        <w:right w:val="none" w:sz="0" w:space="0" w:color="auto"/>
                      </w:divBdr>
                    </w:div>
                    <w:div w:id="211697503">
                      <w:marLeft w:val="0"/>
                      <w:marRight w:val="0"/>
                      <w:marTop w:val="0"/>
                      <w:marBottom w:val="0"/>
                      <w:divBdr>
                        <w:top w:val="none" w:sz="0" w:space="0" w:color="auto"/>
                        <w:left w:val="none" w:sz="0" w:space="0" w:color="auto"/>
                        <w:bottom w:val="none" w:sz="0" w:space="0" w:color="auto"/>
                        <w:right w:val="none" w:sz="0" w:space="0" w:color="auto"/>
                      </w:divBdr>
                    </w:div>
                    <w:div w:id="721562944">
                      <w:marLeft w:val="0"/>
                      <w:marRight w:val="0"/>
                      <w:marTop w:val="0"/>
                      <w:marBottom w:val="0"/>
                      <w:divBdr>
                        <w:top w:val="none" w:sz="0" w:space="0" w:color="auto"/>
                        <w:left w:val="none" w:sz="0" w:space="0" w:color="auto"/>
                        <w:bottom w:val="none" w:sz="0" w:space="0" w:color="auto"/>
                        <w:right w:val="none" w:sz="0" w:space="0" w:color="auto"/>
                      </w:divBdr>
                    </w:div>
                    <w:div w:id="2124810363">
                      <w:marLeft w:val="0"/>
                      <w:marRight w:val="0"/>
                      <w:marTop w:val="0"/>
                      <w:marBottom w:val="0"/>
                      <w:divBdr>
                        <w:top w:val="none" w:sz="0" w:space="0" w:color="auto"/>
                        <w:left w:val="none" w:sz="0" w:space="0" w:color="auto"/>
                        <w:bottom w:val="none" w:sz="0" w:space="0" w:color="auto"/>
                        <w:right w:val="none" w:sz="0" w:space="0" w:color="auto"/>
                      </w:divBdr>
                    </w:div>
                    <w:div w:id="1609968380">
                      <w:marLeft w:val="0"/>
                      <w:marRight w:val="0"/>
                      <w:marTop w:val="0"/>
                      <w:marBottom w:val="0"/>
                      <w:divBdr>
                        <w:top w:val="none" w:sz="0" w:space="0" w:color="auto"/>
                        <w:left w:val="none" w:sz="0" w:space="0" w:color="auto"/>
                        <w:bottom w:val="none" w:sz="0" w:space="0" w:color="auto"/>
                        <w:right w:val="none" w:sz="0" w:space="0" w:color="auto"/>
                      </w:divBdr>
                    </w:div>
                    <w:div w:id="547842464">
                      <w:marLeft w:val="0"/>
                      <w:marRight w:val="0"/>
                      <w:marTop w:val="0"/>
                      <w:marBottom w:val="0"/>
                      <w:divBdr>
                        <w:top w:val="none" w:sz="0" w:space="0" w:color="auto"/>
                        <w:left w:val="none" w:sz="0" w:space="0" w:color="auto"/>
                        <w:bottom w:val="none" w:sz="0" w:space="0" w:color="auto"/>
                        <w:right w:val="none" w:sz="0" w:space="0" w:color="auto"/>
                      </w:divBdr>
                    </w:div>
                    <w:div w:id="1396513201">
                      <w:marLeft w:val="0"/>
                      <w:marRight w:val="0"/>
                      <w:marTop w:val="0"/>
                      <w:marBottom w:val="0"/>
                      <w:divBdr>
                        <w:top w:val="none" w:sz="0" w:space="0" w:color="auto"/>
                        <w:left w:val="none" w:sz="0" w:space="0" w:color="auto"/>
                        <w:bottom w:val="none" w:sz="0" w:space="0" w:color="auto"/>
                        <w:right w:val="none" w:sz="0" w:space="0" w:color="auto"/>
                      </w:divBdr>
                    </w:div>
                    <w:div w:id="950938693">
                      <w:marLeft w:val="0"/>
                      <w:marRight w:val="0"/>
                      <w:marTop w:val="0"/>
                      <w:marBottom w:val="0"/>
                      <w:divBdr>
                        <w:top w:val="none" w:sz="0" w:space="0" w:color="auto"/>
                        <w:left w:val="none" w:sz="0" w:space="0" w:color="auto"/>
                        <w:bottom w:val="none" w:sz="0" w:space="0" w:color="auto"/>
                        <w:right w:val="none" w:sz="0" w:space="0" w:color="auto"/>
                      </w:divBdr>
                    </w:div>
                    <w:div w:id="1660575210">
                      <w:marLeft w:val="0"/>
                      <w:marRight w:val="0"/>
                      <w:marTop w:val="0"/>
                      <w:marBottom w:val="0"/>
                      <w:divBdr>
                        <w:top w:val="none" w:sz="0" w:space="0" w:color="auto"/>
                        <w:left w:val="none" w:sz="0" w:space="0" w:color="auto"/>
                        <w:bottom w:val="none" w:sz="0" w:space="0" w:color="auto"/>
                        <w:right w:val="none" w:sz="0" w:space="0" w:color="auto"/>
                      </w:divBdr>
                    </w:div>
                    <w:div w:id="2060397545">
                      <w:marLeft w:val="0"/>
                      <w:marRight w:val="0"/>
                      <w:marTop w:val="0"/>
                      <w:marBottom w:val="0"/>
                      <w:divBdr>
                        <w:top w:val="none" w:sz="0" w:space="0" w:color="auto"/>
                        <w:left w:val="none" w:sz="0" w:space="0" w:color="auto"/>
                        <w:bottom w:val="none" w:sz="0" w:space="0" w:color="auto"/>
                        <w:right w:val="none" w:sz="0" w:space="0" w:color="auto"/>
                      </w:divBdr>
                    </w:div>
                    <w:div w:id="199636366">
                      <w:marLeft w:val="0"/>
                      <w:marRight w:val="0"/>
                      <w:marTop w:val="0"/>
                      <w:marBottom w:val="0"/>
                      <w:divBdr>
                        <w:top w:val="none" w:sz="0" w:space="0" w:color="auto"/>
                        <w:left w:val="none" w:sz="0" w:space="0" w:color="auto"/>
                        <w:bottom w:val="none" w:sz="0" w:space="0" w:color="auto"/>
                        <w:right w:val="none" w:sz="0" w:space="0" w:color="auto"/>
                      </w:divBdr>
                    </w:div>
                    <w:div w:id="671034107">
                      <w:marLeft w:val="0"/>
                      <w:marRight w:val="0"/>
                      <w:marTop w:val="0"/>
                      <w:marBottom w:val="0"/>
                      <w:divBdr>
                        <w:top w:val="none" w:sz="0" w:space="0" w:color="auto"/>
                        <w:left w:val="none" w:sz="0" w:space="0" w:color="auto"/>
                        <w:bottom w:val="none" w:sz="0" w:space="0" w:color="auto"/>
                        <w:right w:val="none" w:sz="0" w:space="0" w:color="auto"/>
                      </w:divBdr>
                    </w:div>
                    <w:div w:id="1773551155">
                      <w:marLeft w:val="0"/>
                      <w:marRight w:val="0"/>
                      <w:marTop w:val="0"/>
                      <w:marBottom w:val="0"/>
                      <w:divBdr>
                        <w:top w:val="none" w:sz="0" w:space="0" w:color="auto"/>
                        <w:left w:val="none" w:sz="0" w:space="0" w:color="auto"/>
                        <w:bottom w:val="none" w:sz="0" w:space="0" w:color="auto"/>
                        <w:right w:val="none" w:sz="0" w:space="0" w:color="auto"/>
                      </w:divBdr>
                    </w:div>
                    <w:div w:id="1200825827">
                      <w:marLeft w:val="0"/>
                      <w:marRight w:val="0"/>
                      <w:marTop w:val="0"/>
                      <w:marBottom w:val="0"/>
                      <w:divBdr>
                        <w:top w:val="none" w:sz="0" w:space="0" w:color="auto"/>
                        <w:left w:val="none" w:sz="0" w:space="0" w:color="auto"/>
                        <w:bottom w:val="none" w:sz="0" w:space="0" w:color="auto"/>
                        <w:right w:val="none" w:sz="0" w:space="0" w:color="auto"/>
                      </w:divBdr>
                    </w:div>
                    <w:div w:id="174273039">
                      <w:marLeft w:val="0"/>
                      <w:marRight w:val="0"/>
                      <w:marTop w:val="0"/>
                      <w:marBottom w:val="0"/>
                      <w:divBdr>
                        <w:top w:val="none" w:sz="0" w:space="0" w:color="auto"/>
                        <w:left w:val="none" w:sz="0" w:space="0" w:color="auto"/>
                        <w:bottom w:val="none" w:sz="0" w:space="0" w:color="auto"/>
                        <w:right w:val="none" w:sz="0" w:space="0" w:color="auto"/>
                      </w:divBdr>
                    </w:div>
                    <w:div w:id="2096051455">
                      <w:marLeft w:val="0"/>
                      <w:marRight w:val="0"/>
                      <w:marTop w:val="0"/>
                      <w:marBottom w:val="0"/>
                      <w:divBdr>
                        <w:top w:val="none" w:sz="0" w:space="0" w:color="auto"/>
                        <w:left w:val="none" w:sz="0" w:space="0" w:color="auto"/>
                        <w:bottom w:val="none" w:sz="0" w:space="0" w:color="auto"/>
                        <w:right w:val="none" w:sz="0" w:space="0" w:color="auto"/>
                      </w:divBdr>
                    </w:div>
                    <w:div w:id="1136145210">
                      <w:marLeft w:val="0"/>
                      <w:marRight w:val="0"/>
                      <w:marTop w:val="0"/>
                      <w:marBottom w:val="0"/>
                      <w:divBdr>
                        <w:top w:val="none" w:sz="0" w:space="0" w:color="auto"/>
                        <w:left w:val="none" w:sz="0" w:space="0" w:color="auto"/>
                        <w:bottom w:val="none" w:sz="0" w:space="0" w:color="auto"/>
                        <w:right w:val="none" w:sz="0" w:space="0" w:color="auto"/>
                      </w:divBdr>
                    </w:div>
                    <w:div w:id="1235697412">
                      <w:marLeft w:val="0"/>
                      <w:marRight w:val="0"/>
                      <w:marTop w:val="0"/>
                      <w:marBottom w:val="0"/>
                      <w:divBdr>
                        <w:top w:val="none" w:sz="0" w:space="0" w:color="auto"/>
                        <w:left w:val="none" w:sz="0" w:space="0" w:color="auto"/>
                        <w:bottom w:val="none" w:sz="0" w:space="0" w:color="auto"/>
                        <w:right w:val="none" w:sz="0" w:space="0" w:color="auto"/>
                      </w:divBdr>
                    </w:div>
                    <w:div w:id="447286464">
                      <w:marLeft w:val="0"/>
                      <w:marRight w:val="0"/>
                      <w:marTop w:val="0"/>
                      <w:marBottom w:val="0"/>
                      <w:divBdr>
                        <w:top w:val="none" w:sz="0" w:space="0" w:color="auto"/>
                        <w:left w:val="none" w:sz="0" w:space="0" w:color="auto"/>
                        <w:bottom w:val="none" w:sz="0" w:space="0" w:color="auto"/>
                        <w:right w:val="none" w:sz="0" w:space="0" w:color="auto"/>
                      </w:divBdr>
                    </w:div>
                    <w:div w:id="708182409">
                      <w:marLeft w:val="0"/>
                      <w:marRight w:val="0"/>
                      <w:marTop w:val="0"/>
                      <w:marBottom w:val="0"/>
                      <w:divBdr>
                        <w:top w:val="none" w:sz="0" w:space="0" w:color="auto"/>
                        <w:left w:val="none" w:sz="0" w:space="0" w:color="auto"/>
                        <w:bottom w:val="none" w:sz="0" w:space="0" w:color="auto"/>
                        <w:right w:val="none" w:sz="0" w:space="0" w:color="auto"/>
                      </w:divBdr>
                    </w:div>
                    <w:div w:id="1691179117">
                      <w:marLeft w:val="0"/>
                      <w:marRight w:val="0"/>
                      <w:marTop w:val="0"/>
                      <w:marBottom w:val="0"/>
                      <w:divBdr>
                        <w:top w:val="none" w:sz="0" w:space="0" w:color="auto"/>
                        <w:left w:val="none" w:sz="0" w:space="0" w:color="auto"/>
                        <w:bottom w:val="none" w:sz="0" w:space="0" w:color="auto"/>
                        <w:right w:val="none" w:sz="0" w:space="0" w:color="auto"/>
                      </w:divBdr>
                    </w:div>
                    <w:div w:id="1834371726">
                      <w:marLeft w:val="0"/>
                      <w:marRight w:val="0"/>
                      <w:marTop w:val="0"/>
                      <w:marBottom w:val="0"/>
                      <w:divBdr>
                        <w:top w:val="none" w:sz="0" w:space="0" w:color="auto"/>
                        <w:left w:val="none" w:sz="0" w:space="0" w:color="auto"/>
                        <w:bottom w:val="none" w:sz="0" w:space="0" w:color="auto"/>
                        <w:right w:val="none" w:sz="0" w:space="0" w:color="auto"/>
                      </w:divBdr>
                    </w:div>
                    <w:div w:id="982387429">
                      <w:marLeft w:val="0"/>
                      <w:marRight w:val="0"/>
                      <w:marTop w:val="0"/>
                      <w:marBottom w:val="0"/>
                      <w:divBdr>
                        <w:top w:val="none" w:sz="0" w:space="0" w:color="auto"/>
                        <w:left w:val="none" w:sz="0" w:space="0" w:color="auto"/>
                        <w:bottom w:val="none" w:sz="0" w:space="0" w:color="auto"/>
                        <w:right w:val="none" w:sz="0" w:space="0" w:color="auto"/>
                      </w:divBdr>
                    </w:div>
                    <w:div w:id="17198102">
                      <w:marLeft w:val="0"/>
                      <w:marRight w:val="0"/>
                      <w:marTop w:val="0"/>
                      <w:marBottom w:val="0"/>
                      <w:divBdr>
                        <w:top w:val="none" w:sz="0" w:space="0" w:color="auto"/>
                        <w:left w:val="none" w:sz="0" w:space="0" w:color="auto"/>
                        <w:bottom w:val="none" w:sz="0" w:space="0" w:color="auto"/>
                        <w:right w:val="none" w:sz="0" w:space="0" w:color="auto"/>
                      </w:divBdr>
                    </w:div>
                    <w:div w:id="1075470373">
                      <w:marLeft w:val="0"/>
                      <w:marRight w:val="0"/>
                      <w:marTop w:val="0"/>
                      <w:marBottom w:val="0"/>
                      <w:divBdr>
                        <w:top w:val="none" w:sz="0" w:space="0" w:color="auto"/>
                        <w:left w:val="none" w:sz="0" w:space="0" w:color="auto"/>
                        <w:bottom w:val="none" w:sz="0" w:space="0" w:color="auto"/>
                        <w:right w:val="none" w:sz="0" w:space="0" w:color="auto"/>
                      </w:divBdr>
                    </w:div>
                    <w:div w:id="305286232">
                      <w:marLeft w:val="0"/>
                      <w:marRight w:val="0"/>
                      <w:marTop w:val="0"/>
                      <w:marBottom w:val="0"/>
                      <w:divBdr>
                        <w:top w:val="none" w:sz="0" w:space="0" w:color="auto"/>
                        <w:left w:val="none" w:sz="0" w:space="0" w:color="auto"/>
                        <w:bottom w:val="none" w:sz="0" w:space="0" w:color="auto"/>
                        <w:right w:val="none" w:sz="0" w:space="0" w:color="auto"/>
                      </w:divBdr>
                    </w:div>
                    <w:div w:id="1924878650">
                      <w:marLeft w:val="0"/>
                      <w:marRight w:val="0"/>
                      <w:marTop w:val="0"/>
                      <w:marBottom w:val="0"/>
                      <w:divBdr>
                        <w:top w:val="none" w:sz="0" w:space="0" w:color="auto"/>
                        <w:left w:val="none" w:sz="0" w:space="0" w:color="auto"/>
                        <w:bottom w:val="none" w:sz="0" w:space="0" w:color="auto"/>
                        <w:right w:val="none" w:sz="0" w:space="0" w:color="auto"/>
                      </w:divBdr>
                    </w:div>
                    <w:div w:id="1147280322">
                      <w:marLeft w:val="0"/>
                      <w:marRight w:val="0"/>
                      <w:marTop w:val="0"/>
                      <w:marBottom w:val="0"/>
                      <w:divBdr>
                        <w:top w:val="none" w:sz="0" w:space="0" w:color="auto"/>
                        <w:left w:val="none" w:sz="0" w:space="0" w:color="auto"/>
                        <w:bottom w:val="none" w:sz="0" w:space="0" w:color="auto"/>
                        <w:right w:val="none" w:sz="0" w:space="0" w:color="auto"/>
                      </w:divBdr>
                    </w:div>
                    <w:div w:id="1612277073">
                      <w:marLeft w:val="0"/>
                      <w:marRight w:val="0"/>
                      <w:marTop w:val="0"/>
                      <w:marBottom w:val="0"/>
                      <w:divBdr>
                        <w:top w:val="none" w:sz="0" w:space="0" w:color="auto"/>
                        <w:left w:val="none" w:sz="0" w:space="0" w:color="auto"/>
                        <w:bottom w:val="none" w:sz="0" w:space="0" w:color="auto"/>
                        <w:right w:val="none" w:sz="0" w:space="0" w:color="auto"/>
                      </w:divBdr>
                    </w:div>
                    <w:div w:id="2007827884">
                      <w:marLeft w:val="0"/>
                      <w:marRight w:val="0"/>
                      <w:marTop w:val="0"/>
                      <w:marBottom w:val="0"/>
                      <w:divBdr>
                        <w:top w:val="none" w:sz="0" w:space="0" w:color="auto"/>
                        <w:left w:val="none" w:sz="0" w:space="0" w:color="auto"/>
                        <w:bottom w:val="none" w:sz="0" w:space="0" w:color="auto"/>
                        <w:right w:val="none" w:sz="0" w:space="0" w:color="auto"/>
                      </w:divBdr>
                    </w:div>
                  </w:divsChild>
                </w:div>
                <w:div w:id="1913927676">
                  <w:marLeft w:val="0"/>
                  <w:marRight w:val="0"/>
                  <w:marTop w:val="0"/>
                  <w:marBottom w:val="0"/>
                  <w:divBdr>
                    <w:top w:val="none" w:sz="0" w:space="0" w:color="auto"/>
                    <w:left w:val="none" w:sz="0" w:space="0" w:color="auto"/>
                    <w:bottom w:val="none" w:sz="0" w:space="0" w:color="auto"/>
                    <w:right w:val="none" w:sz="0" w:space="0" w:color="auto"/>
                  </w:divBdr>
                  <w:divsChild>
                    <w:div w:id="1795906846">
                      <w:marLeft w:val="0"/>
                      <w:marRight w:val="0"/>
                      <w:marTop w:val="0"/>
                      <w:marBottom w:val="0"/>
                      <w:divBdr>
                        <w:top w:val="none" w:sz="0" w:space="0" w:color="auto"/>
                        <w:left w:val="none" w:sz="0" w:space="0" w:color="auto"/>
                        <w:bottom w:val="none" w:sz="0" w:space="0" w:color="auto"/>
                        <w:right w:val="none" w:sz="0" w:space="0" w:color="auto"/>
                      </w:divBdr>
                      <w:divsChild>
                        <w:div w:id="2097629215">
                          <w:marLeft w:val="0"/>
                          <w:marRight w:val="0"/>
                          <w:marTop w:val="0"/>
                          <w:marBottom w:val="0"/>
                          <w:divBdr>
                            <w:top w:val="none" w:sz="0" w:space="0" w:color="auto"/>
                            <w:left w:val="none" w:sz="0" w:space="0" w:color="auto"/>
                            <w:bottom w:val="none" w:sz="0" w:space="0" w:color="auto"/>
                            <w:right w:val="none" w:sz="0" w:space="0" w:color="auto"/>
                          </w:divBdr>
                          <w:divsChild>
                            <w:div w:id="7448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134333">
      <w:bodyDiv w:val="1"/>
      <w:marLeft w:val="0"/>
      <w:marRight w:val="0"/>
      <w:marTop w:val="0"/>
      <w:marBottom w:val="0"/>
      <w:divBdr>
        <w:top w:val="none" w:sz="0" w:space="0" w:color="auto"/>
        <w:left w:val="none" w:sz="0" w:space="0" w:color="auto"/>
        <w:bottom w:val="none" w:sz="0" w:space="0" w:color="auto"/>
        <w:right w:val="none" w:sz="0" w:space="0" w:color="auto"/>
      </w:divBdr>
      <w:divsChild>
        <w:div w:id="395512938">
          <w:marLeft w:val="0"/>
          <w:marRight w:val="0"/>
          <w:marTop w:val="0"/>
          <w:marBottom w:val="0"/>
          <w:divBdr>
            <w:top w:val="none" w:sz="0" w:space="0" w:color="auto"/>
            <w:left w:val="none" w:sz="0" w:space="0" w:color="auto"/>
            <w:bottom w:val="none" w:sz="0" w:space="0" w:color="auto"/>
            <w:right w:val="none" w:sz="0" w:space="0" w:color="auto"/>
          </w:divBdr>
        </w:div>
        <w:div w:id="1259557553">
          <w:marLeft w:val="0"/>
          <w:marRight w:val="0"/>
          <w:marTop w:val="0"/>
          <w:marBottom w:val="0"/>
          <w:divBdr>
            <w:top w:val="none" w:sz="0" w:space="0" w:color="auto"/>
            <w:left w:val="none" w:sz="0" w:space="0" w:color="auto"/>
            <w:bottom w:val="none" w:sz="0" w:space="0" w:color="auto"/>
            <w:right w:val="none" w:sz="0" w:space="0" w:color="auto"/>
          </w:divBdr>
        </w:div>
        <w:div w:id="2074884222">
          <w:marLeft w:val="0"/>
          <w:marRight w:val="0"/>
          <w:marTop w:val="0"/>
          <w:marBottom w:val="0"/>
          <w:divBdr>
            <w:top w:val="none" w:sz="0" w:space="0" w:color="auto"/>
            <w:left w:val="none" w:sz="0" w:space="0" w:color="auto"/>
            <w:bottom w:val="none" w:sz="0" w:space="0" w:color="auto"/>
            <w:right w:val="none" w:sz="0" w:space="0" w:color="auto"/>
          </w:divBdr>
        </w:div>
        <w:div w:id="1170020861">
          <w:marLeft w:val="0"/>
          <w:marRight w:val="0"/>
          <w:marTop w:val="0"/>
          <w:marBottom w:val="0"/>
          <w:divBdr>
            <w:top w:val="none" w:sz="0" w:space="0" w:color="auto"/>
            <w:left w:val="none" w:sz="0" w:space="0" w:color="auto"/>
            <w:bottom w:val="none" w:sz="0" w:space="0" w:color="auto"/>
            <w:right w:val="none" w:sz="0" w:space="0" w:color="auto"/>
          </w:divBdr>
        </w:div>
        <w:div w:id="229313973">
          <w:marLeft w:val="0"/>
          <w:marRight w:val="0"/>
          <w:marTop w:val="0"/>
          <w:marBottom w:val="0"/>
          <w:divBdr>
            <w:top w:val="none" w:sz="0" w:space="0" w:color="auto"/>
            <w:left w:val="none" w:sz="0" w:space="0" w:color="auto"/>
            <w:bottom w:val="none" w:sz="0" w:space="0" w:color="auto"/>
            <w:right w:val="none" w:sz="0" w:space="0" w:color="auto"/>
          </w:divBdr>
        </w:div>
        <w:div w:id="1570387838">
          <w:marLeft w:val="0"/>
          <w:marRight w:val="0"/>
          <w:marTop w:val="0"/>
          <w:marBottom w:val="0"/>
          <w:divBdr>
            <w:top w:val="none" w:sz="0" w:space="0" w:color="auto"/>
            <w:left w:val="none" w:sz="0" w:space="0" w:color="auto"/>
            <w:bottom w:val="none" w:sz="0" w:space="0" w:color="auto"/>
            <w:right w:val="none" w:sz="0" w:space="0" w:color="auto"/>
          </w:divBdr>
        </w:div>
        <w:div w:id="64573325">
          <w:marLeft w:val="0"/>
          <w:marRight w:val="0"/>
          <w:marTop w:val="0"/>
          <w:marBottom w:val="0"/>
          <w:divBdr>
            <w:top w:val="none" w:sz="0" w:space="0" w:color="auto"/>
            <w:left w:val="none" w:sz="0" w:space="0" w:color="auto"/>
            <w:bottom w:val="none" w:sz="0" w:space="0" w:color="auto"/>
            <w:right w:val="none" w:sz="0" w:space="0" w:color="auto"/>
          </w:divBdr>
        </w:div>
        <w:div w:id="1634823048">
          <w:marLeft w:val="0"/>
          <w:marRight w:val="0"/>
          <w:marTop w:val="0"/>
          <w:marBottom w:val="0"/>
          <w:divBdr>
            <w:top w:val="none" w:sz="0" w:space="0" w:color="auto"/>
            <w:left w:val="none" w:sz="0" w:space="0" w:color="auto"/>
            <w:bottom w:val="none" w:sz="0" w:space="0" w:color="auto"/>
            <w:right w:val="none" w:sz="0" w:space="0" w:color="auto"/>
          </w:divBdr>
        </w:div>
        <w:div w:id="1678002815">
          <w:marLeft w:val="0"/>
          <w:marRight w:val="0"/>
          <w:marTop w:val="0"/>
          <w:marBottom w:val="0"/>
          <w:divBdr>
            <w:top w:val="none" w:sz="0" w:space="0" w:color="auto"/>
            <w:left w:val="none" w:sz="0" w:space="0" w:color="auto"/>
            <w:bottom w:val="none" w:sz="0" w:space="0" w:color="auto"/>
            <w:right w:val="none" w:sz="0" w:space="0" w:color="auto"/>
          </w:divBdr>
        </w:div>
        <w:div w:id="240414058">
          <w:marLeft w:val="0"/>
          <w:marRight w:val="0"/>
          <w:marTop w:val="0"/>
          <w:marBottom w:val="0"/>
          <w:divBdr>
            <w:top w:val="none" w:sz="0" w:space="0" w:color="auto"/>
            <w:left w:val="none" w:sz="0" w:space="0" w:color="auto"/>
            <w:bottom w:val="none" w:sz="0" w:space="0" w:color="auto"/>
            <w:right w:val="none" w:sz="0" w:space="0" w:color="auto"/>
          </w:divBdr>
        </w:div>
        <w:div w:id="671882191">
          <w:marLeft w:val="0"/>
          <w:marRight w:val="0"/>
          <w:marTop w:val="0"/>
          <w:marBottom w:val="0"/>
          <w:divBdr>
            <w:top w:val="none" w:sz="0" w:space="0" w:color="auto"/>
            <w:left w:val="none" w:sz="0" w:space="0" w:color="auto"/>
            <w:bottom w:val="none" w:sz="0" w:space="0" w:color="auto"/>
            <w:right w:val="none" w:sz="0" w:space="0" w:color="auto"/>
          </w:divBdr>
        </w:div>
        <w:div w:id="1518882892">
          <w:marLeft w:val="0"/>
          <w:marRight w:val="0"/>
          <w:marTop w:val="0"/>
          <w:marBottom w:val="0"/>
          <w:divBdr>
            <w:top w:val="none" w:sz="0" w:space="0" w:color="auto"/>
            <w:left w:val="none" w:sz="0" w:space="0" w:color="auto"/>
            <w:bottom w:val="none" w:sz="0" w:space="0" w:color="auto"/>
            <w:right w:val="none" w:sz="0" w:space="0" w:color="auto"/>
          </w:divBdr>
        </w:div>
        <w:div w:id="499850893">
          <w:marLeft w:val="0"/>
          <w:marRight w:val="0"/>
          <w:marTop w:val="0"/>
          <w:marBottom w:val="0"/>
          <w:divBdr>
            <w:top w:val="none" w:sz="0" w:space="0" w:color="auto"/>
            <w:left w:val="none" w:sz="0" w:space="0" w:color="auto"/>
            <w:bottom w:val="none" w:sz="0" w:space="0" w:color="auto"/>
            <w:right w:val="none" w:sz="0" w:space="0" w:color="auto"/>
          </w:divBdr>
        </w:div>
        <w:div w:id="458031400">
          <w:marLeft w:val="0"/>
          <w:marRight w:val="0"/>
          <w:marTop w:val="0"/>
          <w:marBottom w:val="0"/>
          <w:divBdr>
            <w:top w:val="none" w:sz="0" w:space="0" w:color="auto"/>
            <w:left w:val="none" w:sz="0" w:space="0" w:color="auto"/>
            <w:bottom w:val="none" w:sz="0" w:space="0" w:color="auto"/>
            <w:right w:val="none" w:sz="0" w:space="0" w:color="auto"/>
          </w:divBdr>
        </w:div>
        <w:div w:id="1377268372">
          <w:marLeft w:val="0"/>
          <w:marRight w:val="0"/>
          <w:marTop w:val="0"/>
          <w:marBottom w:val="0"/>
          <w:divBdr>
            <w:top w:val="none" w:sz="0" w:space="0" w:color="auto"/>
            <w:left w:val="none" w:sz="0" w:space="0" w:color="auto"/>
            <w:bottom w:val="none" w:sz="0" w:space="0" w:color="auto"/>
            <w:right w:val="none" w:sz="0" w:space="0" w:color="auto"/>
          </w:divBdr>
        </w:div>
        <w:div w:id="1183083953">
          <w:marLeft w:val="0"/>
          <w:marRight w:val="0"/>
          <w:marTop w:val="0"/>
          <w:marBottom w:val="0"/>
          <w:divBdr>
            <w:top w:val="none" w:sz="0" w:space="0" w:color="auto"/>
            <w:left w:val="none" w:sz="0" w:space="0" w:color="auto"/>
            <w:bottom w:val="none" w:sz="0" w:space="0" w:color="auto"/>
            <w:right w:val="none" w:sz="0" w:space="0" w:color="auto"/>
          </w:divBdr>
        </w:div>
        <w:div w:id="1383166856">
          <w:marLeft w:val="0"/>
          <w:marRight w:val="0"/>
          <w:marTop w:val="0"/>
          <w:marBottom w:val="0"/>
          <w:divBdr>
            <w:top w:val="none" w:sz="0" w:space="0" w:color="auto"/>
            <w:left w:val="none" w:sz="0" w:space="0" w:color="auto"/>
            <w:bottom w:val="none" w:sz="0" w:space="0" w:color="auto"/>
            <w:right w:val="none" w:sz="0" w:space="0" w:color="auto"/>
          </w:divBdr>
        </w:div>
        <w:div w:id="1525024208">
          <w:marLeft w:val="0"/>
          <w:marRight w:val="0"/>
          <w:marTop w:val="0"/>
          <w:marBottom w:val="0"/>
          <w:divBdr>
            <w:top w:val="none" w:sz="0" w:space="0" w:color="auto"/>
            <w:left w:val="none" w:sz="0" w:space="0" w:color="auto"/>
            <w:bottom w:val="none" w:sz="0" w:space="0" w:color="auto"/>
            <w:right w:val="none" w:sz="0" w:space="0" w:color="auto"/>
          </w:divBdr>
        </w:div>
        <w:div w:id="1968849791">
          <w:marLeft w:val="0"/>
          <w:marRight w:val="0"/>
          <w:marTop w:val="0"/>
          <w:marBottom w:val="0"/>
          <w:divBdr>
            <w:top w:val="none" w:sz="0" w:space="0" w:color="auto"/>
            <w:left w:val="none" w:sz="0" w:space="0" w:color="auto"/>
            <w:bottom w:val="none" w:sz="0" w:space="0" w:color="auto"/>
            <w:right w:val="none" w:sz="0" w:space="0" w:color="auto"/>
          </w:divBdr>
        </w:div>
        <w:div w:id="2062434122">
          <w:marLeft w:val="0"/>
          <w:marRight w:val="0"/>
          <w:marTop w:val="0"/>
          <w:marBottom w:val="0"/>
          <w:divBdr>
            <w:top w:val="none" w:sz="0" w:space="0" w:color="auto"/>
            <w:left w:val="none" w:sz="0" w:space="0" w:color="auto"/>
            <w:bottom w:val="none" w:sz="0" w:space="0" w:color="auto"/>
            <w:right w:val="none" w:sz="0" w:space="0" w:color="auto"/>
          </w:divBdr>
        </w:div>
        <w:div w:id="437525870">
          <w:marLeft w:val="0"/>
          <w:marRight w:val="0"/>
          <w:marTop w:val="0"/>
          <w:marBottom w:val="0"/>
          <w:divBdr>
            <w:top w:val="none" w:sz="0" w:space="0" w:color="auto"/>
            <w:left w:val="none" w:sz="0" w:space="0" w:color="auto"/>
            <w:bottom w:val="none" w:sz="0" w:space="0" w:color="auto"/>
            <w:right w:val="none" w:sz="0" w:space="0" w:color="auto"/>
          </w:divBdr>
        </w:div>
        <w:div w:id="348534630">
          <w:marLeft w:val="0"/>
          <w:marRight w:val="0"/>
          <w:marTop w:val="0"/>
          <w:marBottom w:val="0"/>
          <w:divBdr>
            <w:top w:val="none" w:sz="0" w:space="0" w:color="auto"/>
            <w:left w:val="none" w:sz="0" w:space="0" w:color="auto"/>
            <w:bottom w:val="none" w:sz="0" w:space="0" w:color="auto"/>
            <w:right w:val="none" w:sz="0" w:space="0" w:color="auto"/>
          </w:divBdr>
        </w:div>
        <w:div w:id="1629629933">
          <w:marLeft w:val="0"/>
          <w:marRight w:val="0"/>
          <w:marTop w:val="0"/>
          <w:marBottom w:val="0"/>
          <w:divBdr>
            <w:top w:val="none" w:sz="0" w:space="0" w:color="auto"/>
            <w:left w:val="none" w:sz="0" w:space="0" w:color="auto"/>
            <w:bottom w:val="none" w:sz="0" w:space="0" w:color="auto"/>
            <w:right w:val="none" w:sz="0" w:space="0" w:color="auto"/>
          </w:divBdr>
        </w:div>
        <w:div w:id="1728258731">
          <w:marLeft w:val="0"/>
          <w:marRight w:val="0"/>
          <w:marTop w:val="0"/>
          <w:marBottom w:val="0"/>
          <w:divBdr>
            <w:top w:val="none" w:sz="0" w:space="0" w:color="auto"/>
            <w:left w:val="none" w:sz="0" w:space="0" w:color="auto"/>
            <w:bottom w:val="none" w:sz="0" w:space="0" w:color="auto"/>
            <w:right w:val="none" w:sz="0" w:space="0" w:color="auto"/>
          </w:divBdr>
        </w:div>
        <w:div w:id="313992789">
          <w:marLeft w:val="0"/>
          <w:marRight w:val="0"/>
          <w:marTop w:val="0"/>
          <w:marBottom w:val="0"/>
          <w:divBdr>
            <w:top w:val="none" w:sz="0" w:space="0" w:color="auto"/>
            <w:left w:val="none" w:sz="0" w:space="0" w:color="auto"/>
            <w:bottom w:val="none" w:sz="0" w:space="0" w:color="auto"/>
            <w:right w:val="none" w:sz="0" w:space="0" w:color="auto"/>
          </w:divBdr>
        </w:div>
        <w:div w:id="203950004">
          <w:marLeft w:val="0"/>
          <w:marRight w:val="0"/>
          <w:marTop w:val="0"/>
          <w:marBottom w:val="0"/>
          <w:divBdr>
            <w:top w:val="none" w:sz="0" w:space="0" w:color="auto"/>
            <w:left w:val="none" w:sz="0" w:space="0" w:color="auto"/>
            <w:bottom w:val="none" w:sz="0" w:space="0" w:color="auto"/>
            <w:right w:val="none" w:sz="0" w:space="0" w:color="auto"/>
          </w:divBdr>
        </w:div>
        <w:div w:id="311717038">
          <w:marLeft w:val="0"/>
          <w:marRight w:val="0"/>
          <w:marTop w:val="0"/>
          <w:marBottom w:val="0"/>
          <w:divBdr>
            <w:top w:val="none" w:sz="0" w:space="0" w:color="auto"/>
            <w:left w:val="none" w:sz="0" w:space="0" w:color="auto"/>
            <w:bottom w:val="none" w:sz="0" w:space="0" w:color="auto"/>
            <w:right w:val="none" w:sz="0" w:space="0" w:color="auto"/>
          </w:divBdr>
        </w:div>
        <w:div w:id="54745857">
          <w:marLeft w:val="0"/>
          <w:marRight w:val="0"/>
          <w:marTop w:val="0"/>
          <w:marBottom w:val="0"/>
          <w:divBdr>
            <w:top w:val="none" w:sz="0" w:space="0" w:color="auto"/>
            <w:left w:val="none" w:sz="0" w:space="0" w:color="auto"/>
            <w:bottom w:val="none" w:sz="0" w:space="0" w:color="auto"/>
            <w:right w:val="none" w:sz="0" w:space="0" w:color="auto"/>
          </w:divBdr>
        </w:div>
        <w:div w:id="1423574333">
          <w:marLeft w:val="0"/>
          <w:marRight w:val="0"/>
          <w:marTop w:val="0"/>
          <w:marBottom w:val="0"/>
          <w:divBdr>
            <w:top w:val="none" w:sz="0" w:space="0" w:color="auto"/>
            <w:left w:val="none" w:sz="0" w:space="0" w:color="auto"/>
            <w:bottom w:val="none" w:sz="0" w:space="0" w:color="auto"/>
            <w:right w:val="none" w:sz="0" w:space="0" w:color="auto"/>
          </w:divBdr>
        </w:div>
        <w:div w:id="74398813">
          <w:marLeft w:val="0"/>
          <w:marRight w:val="0"/>
          <w:marTop w:val="0"/>
          <w:marBottom w:val="0"/>
          <w:divBdr>
            <w:top w:val="none" w:sz="0" w:space="0" w:color="auto"/>
            <w:left w:val="none" w:sz="0" w:space="0" w:color="auto"/>
            <w:bottom w:val="none" w:sz="0" w:space="0" w:color="auto"/>
            <w:right w:val="none" w:sz="0" w:space="0" w:color="auto"/>
          </w:divBdr>
        </w:div>
        <w:div w:id="1614089365">
          <w:marLeft w:val="0"/>
          <w:marRight w:val="0"/>
          <w:marTop w:val="0"/>
          <w:marBottom w:val="0"/>
          <w:divBdr>
            <w:top w:val="none" w:sz="0" w:space="0" w:color="auto"/>
            <w:left w:val="none" w:sz="0" w:space="0" w:color="auto"/>
            <w:bottom w:val="none" w:sz="0" w:space="0" w:color="auto"/>
            <w:right w:val="none" w:sz="0" w:space="0" w:color="auto"/>
          </w:divBdr>
        </w:div>
        <w:div w:id="938179494">
          <w:marLeft w:val="0"/>
          <w:marRight w:val="0"/>
          <w:marTop w:val="0"/>
          <w:marBottom w:val="0"/>
          <w:divBdr>
            <w:top w:val="none" w:sz="0" w:space="0" w:color="auto"/>
            <w:left w:val="none" w:sz="0" w:space="0" w:color="auto"/>
            <w:bottom w:val="none" w:sz="0" w:space="0" w:color="auto"/>
            <w:right w:val="none" w:sz="0" w:space="0" w:color="auto"/>
          </w:divBdr>
        </w:div>
        <w:div w:id="817385145">
          <w:marLeft w:val="0"/>
          <w:marRight w:val="0"/>
          <w:marTop w:val="0"/>
          <w:marBottom w:val="0"/>
          <w:divBdr>
            <w:top w:val="none" w:sz="0" w:space="0" w:color="auto"/>
            <w:left w:val="none" w:sz="0" w:space="0" w:color="auto"/>
            <w:bottom w:val="none" w:sz="0" w:space="0" w:color="auto"/>
            <w:right w:val="none" w:sz="0" w:space="0" w:color="auto"/>
          </w:divBdr>
        </w:div>
        <w:div w:id="882642425">
          <w:marLeft w:val="0"/>
          <w:marRight w:val="0"/>
          <w:marTop w:val="0"/>
          <w:marBottom w:val="0"/>
          <w:divBdr>
            <w:top w:val="none" w:sz="0" w:space="0" w:color="auto"/>
            <w:left w:val="none" w:sz="0" w:space="0" w:color="auto"/>
            <w:bottom w:val="none" w:sz="0" w:space="0" w:color="auto"/>
            <w:right w:val="none" w:sz="0" w:space="0" w:color="auto"/>
          </w:divBdr>
        </w:div>
        <w:div w:id="142358601">
          <w:marLeft w:val="0"/>
          <w:marRight w:val="0"/>
          <w:marTop w:val="0"/>
          <w:marBottom w:val="0"/>
          <w:divBdr>
            <w:top w:val="none" w:sz="0" w:space="0" w:color="auto"/>
            <w:left w:val="none" w:sz="0" w:space="0" w:color="auto"/>
            <w:bottom w:val="none" w:sz="0" w:space="0" w:color="auto"/>
            <w:right w:val="none" w:sz="0" w:space="0" w:color="auto"/>
          </w:divBdr>
        </w:div>
      </w:divsChild>
    </w:div>
    <w:div w:id="2077360643">
      <w:bodyDiv w:val="1"/>
      <w:marLeft w:val="0"/>
      <w:marRight w:val="0"/>
      <w:marTop w:val="0"/>
      <w:marBottom w:val="0"/>
      <w:divBdr>
        <w:top w:val="none" w:sz="0" w:space="0" w:color="auto"/>
        <w:left w:val="none" w:sz="0" w:space="0" w:color="auto"/>
        <w:bottom w:val="none" w:sz="0" w:space="0" w:color="auto"/>
        <w:right w:val="none" w:sz="0" w:space="0" w:color="auto"/>
      </w:divBdr>
      <w:divsChild>
        <w:div w:id="891890367">
          <w:marLeft w:val="0"/>
          <w:marRight w:val="0"/>
          <w:marTop w:val="0"/>
          <w:marBottom w:val="0"/>
          <w:divBdr>
            <w:top w:val="none" w:sz="0" w:space="0" w:color="auto"/>
            <w:left w:val="none" w:sz="0" w:space="0" w:color="auto"/>
            <w:bottom w:val="none" w:sz="0" w:space="0" w:color="auto"/>
            <w:right w:val="none" w:sz="0" w:space="0" w:color="auto"/>
          </w:divBdr>
        </w:div>
        <w:div w:id="1733190642">
          <w:marLeft w:val="0"/>
          <w:marRight w:val="0"/>
          <w:marTop w:val="0"/>
          <w:marBottom w:val="0"/>
          <w:divBdr>
            <w:top w:val="none" w:sz="0" w:space="0" w:color="auto"/>
            <w:left w:val="none" w:sz="0" w:space="0" w:color="auto"/>
            <w:bottom w:val="none" w:sz="0" w:space="0" w:color="auto"/>
            <w:right w:val="none" w:sz="0" w:space="0" w:color="auto"/>
          </w:divBdr>
        </w:div>
        <w:div w:id="1649937470">
          <w:marLeft w:val="0"/>
          <w:marRight w:val="0"/>
          <w:marTop w:val="0"/>
          <w:marBottom w:val="0"/>
          <w:divBdr>
            <w:top w:val="none" w:sz="0" w:space="0" w:color="auto"/>
            <w:left w:val="none" w:sz="0" w:space="0" w:color="auto"/>
            <w:bottom w:val="none" w:sz="0" w:space="0" w:color="auto"/>
            <w:right w:val="none" w:sz="0" w:space="0" w:color="auto"/>
          </w:divBdr>
        </w:div>
        <w:div w:id="1128471492">
          <w:marLeft w:val="0"/>
          <w:marRight w:val="0"/>
          <w:marTop w:val="0"/>
          <w:marBottom w:val="0"/>
          <w:divBdr>
            <w:top w:val="none" w:sz="0" w:space="0" w:color="auto"/>
            <w:left w:val="none" w:sz="0" w:space="0" w:color="auto"/>
            <w:bottom w:val="none" w:sz="0" w:space="0" w:color="auto"/>
            <w:right w:val="none" w:sz="0" w:space="0" w:color="auto"/>
          </w:divBdr>
        </w:div>
        <w:div w:id="1355301770">
          <w:marLeft w:val="0"/>
          <w:marRight w:val="0"/>
          <w:marTop w:val="0"/>
          <w:marBottom w:val="0"/>
          <w:divBdr>
            <w:top w:val="none" w:sz="0" w:space="0" w:color="auto"/>
            <w:left w:val="none" w:sz="0" w:space="0" w:color="auto"/>
            <w:bottom w:val="none" w:sz="0" w:space="0" w:color="auto"/>
            <w:right w:val="none" w:sz="0" w:space="0" w:color="auto"/>
          </w:divBdr>
        </w:div>
        <w:div w:id="258565699">
          <w:marLeft w:val="0"/>
          <w:marRight w:val="0"/>
          <w:marTop w:val="0"/>
          <w:marBottom w:val="0"/>
          <w:divBdr>
            <w:top w:val="none" w:sz="0" w:space="0" w:color="auto"/>
            <w:left w:val="none" w:sz="0" w:space="0" w:color="auto"/>
            <w:bottom w:val="none" w:sz="0" w:space="0" w:color="auto"/>
            <w:right w:val="none" w:sz="0" w:space="0" w:color="auto"/>
          </w:divBdr>
        </w:div>
        <w:div w:id="797184817">
          <w:marLeft w:val="0"/>
          <w:marRight w:val="0"/>
          <w:marTop w:val="0"/>
          <w:marBottom w:val="0"/>
          <w:divBdr>
            <w:top w:val="none" w:sz="0" w:space="0" w:color="auto"/>
            <w:left w:val="none" w:sz="0" w:space="0" w:color="auto"/>
            <w:bottom w:val="none" w:sz="0" w:space="0" w:color="auto"/>
            <w:right w:val="none" w:sz="0" w:space="0" w:color="auto"/>
          </w:divBdr>
        </w:div>
        <w:div w:id="1096903320">
          <w:marLeft w:val="0"/>
          <w:marRight w:val="0"/>
          <w:marTop w:val="0"/>
          <w:marBottom w:val="0"/>
          <w:divBdr>
            <w:top w:val="none" w:sz="0" w:space="0" w:color="auto"/>
            <w:left w:val="none" w:sz="0" w:space="0" w:color="auto"/>
            <w:bottom w:val="none" w:sz="0" w:space="0" w:color="auto"/>
            <w:right w:val="none" w:sz="0" w:space="0" w:color="auto"/>
          </w:divBdr>
        </w:div>
        <w:div w:id="11107894">
          <w:marLeft w:val="0"/>
          <w:marRight w:val="0"/>
          <w:marTop w:val="0"/>
          <w:marBottom w:val="0"/>
          <w:divBdr>
            <w:top w:val="none" w:sz="0" w:space="0" w:color="auto"/>
            <w:left w:val="none" w:sz="0" w:space="0" w:color="auto"/>
            <w:bottom w:val="none" w:sz="0" w:space="0" w:color="auto"/>
            <w:right w:val="none" w:sz="0" w:space="0" w:color="auto"/>
          </w:divBdr>
        </w:div>
        <w:div w:id="356124772">
          <w:marLeft w:val="0"/>
          <w:marRight w:val="0"/>
          <w:marTop w:val="0"/>
          <w:marBottom w:val="0"/>
          <w:divBdr>
            <w:top w:val="none" w:sz="0" w:space="0" w:color="auto"/>
            <w:left w:val="none" w:sz="0" w:space="0" w:color="auto"/>
            <w:bottom w:val="none" w:sz="0" w:space="0" w:color="auto"/>
            <w:right w:val="none" w:sz="0" w:space="0" w:color="auto"/>
          </w:divBdr>
        </w:div>
        <w:div w:id="2011061985">
          <w:marLeft w:val="0"/>
          <w:marRight w:val="0"/>
          <w:marTop w:val="0"/>
          <w:marBottom w:val="0"/>
          <w:divBdr>
            <w:top w:val="none" w:sz="0" w:space="0" w:color="auto"/>
            <w:left w:val="none" w:sz="0" w:space="0" w:color="auto"/>
            <w:bottom w:val="none" w:sz="0" w:space="0" w:color="auto"/>
            <w:right w:val="none" w:sz="0" w:space="0" w:color="auto"/>
          </w:divBdr>
        </w:div>
        <w:div w:id="45954764">
          <w:marLeft w:val="0"/>
          <w:marRight w:val="0"/>
          <w:marTop w:val="0"/>
          <w:marBottom w:val="0"/>
          <w:divBdr>
            <w:top w:val="none" w:sz="0" w:space="0" w:color="auto"/>
            <w:left w:val="none" w:sz="0" w:space="0" w:color="auto"/>
            <w:bottom w:val="none" w:sz="0" w:space="0" w:color="auto"/>
            <w:right w:val="none" w:sz="0" w:space="0" w:color="auto"/>
          </w:divBdr>
        </w:div>
        <w:div w:id="1308559045">
          <w:marLeft w:val="0"/>
          <w:marRight w:val="0"/>
          <w:marTop w:val="0"/>
          <w:marBottom w:val="0"/>
          <w:divBdr>
            <w:top w:val="none" w:sz="0" w:space="0" w:color="auto"/>
            <w:left w:val="none" w:sz="0" w:space="0" w:color="auto"/>
            <w:bottom w:val="none" w:sz="0" w:space="0" w:color="auto"/>
            <w:right w:val="none" w:sz="0" w:space="0" w:color="auto"/>
          </w:divBdr>
        </w:div>
        <w:div w:id="1271938413">
          <w:marLeft w:val="0"/>
          <w:marRight w:val="0"/>
          <w:marTop w:val="0"/>
          <w:marBottom w:val="0"/>
          <w:divBdr>
            <w:top w:val="none" w:sz="0" w:space="0" w:color="auto"/>
            <w:left w:val="none" w:sz="0" w:space="0" w:color="auto"/>
            <w:bottom w:val="none" w:sz="0" w:space="0" w:color="auto"/>
            <w:right w:val="none" w:sz="0" w:space="0" w:color="auto"/>
          </w:divBdr>
        </w:div>
        <w:div w:id="585655913">
          <w:marLeft w:val="0"/>
          <w:marRight w:val="0"/>
          <w:marTop w:val="0"/>
          <w:marBottom w:val="0"/>
          <w:divBdr>
            <w:top w:val="none" w:sz="0" w:space="0" w:color="auto"/>
            <w:left w:val="none" w:sz="0" w:space="0" w:color="auto"/>
            <w:bottom w:val="none" w:sz="0" w:space="0" w:color="auto"/>
            <w:right w:val="none" w:sz="0" w:space="0" w:color="auto"/>
          </w:divBdr>
        </w:div>
        <w:div w:id="2084404894">
          <w:marLeft w:val="0"/>
          <w:marRight w:val="0"/>
          <w:marTop w:val="0"/>
          <w:marBottom w:val="0"/>
          <w:divBdr>
            <w:top w:val="none" w:sz="0" w:space="0" w:color="auto"/>
            <w:left w:val="none" w:sz="0" w:space="0" w:color="auto"/>
            <w:bottom w:val="none" w:sz="0" w:space="0" w:color="auto"/>
            <w:right w:val="none" w:sz="0" w:space="0" w:color="auto"/>
          </w:divBdr>
        </w:div>
        <w:div w:id="260845041">
          <w:marLeft w:val="0"/>
          <w:marRight w:val="0"/>
          <w:marTop w:val="0"/>
          <w:marBottom w:val="0"/>
          <w:divBdr>
            <w:top w:val="none" w:sz="0" w:space="0" w:color="auto"/>
            <w:left w:val="none" w:sz="0" w:space="0" w:color="auto"/>
            <w:bottom w:val="none" w:sz="0" w:space="0" w:color="auto"/>
            <w:right w:val="none" w:sz="0" w:space="0" w:color="auto"/>
          </w:divBdr>
        </w:div>
        <w:div w:id="258222124">
          <w:marLeft w:val="0"/>
          <w:marRight w:val="0"/>
          <w:marTop w:val="0"/>
          <w:marBottom w:val="0"/>
          <w:divBdr>
            <w:top w:val="none" w:sz="0" w:space="0" w:color="auto"/>
            <w:left w:val="none" w:sz="0" w:space="0" w:color="auto"/>
            <w:bottom w:val="none" w:sz="0" w:space="0" w:color="auto"/>
            <w:right w:val="none" w:sz="0" w:space="0" w:color="auto"/>
          </w:divBdr>
        </w:div>
        <w:div w:id="1190413875">
          <w:marLeft w:val="0"/>
          <w:marRight w:val="0"/>
          <w:marTop w:val="0"/>
          <w:marBottom w:val="0"/>
          <w:divBdr>
            <w:top w:val="none" w:sz="0" w:space="0" w:color="auto"/>
            <w:left w:val="none" w:sz="0" w:space="0" w:color="auto"/>
            <w:bottom w:val="none" w:sz="0" w:space="0" w:color="auto"/>
            <w:right w:val="none" w:sz="0" w:space="0" w:color="auto"/>
          </w:divBdr>
        </w:div>
        <w:div w:id="1069497423">
          <w:marLeft w:val="0"/>
          <w:marRight w:val="0"/>
          <w:marTop w:val="0"/>
          <w:marBottom w:val="0"/>
          <w:divBdr>
            <w:top w:val="none" w:sz="0" w:space="0" w:color="auto"/>
            <w:left w:val="none" w:sz="0" w:space="0" w:color="auto"/>
            <w:bottom w:val="none" w:sz="0" w:space="0" w:color="auto"/>
            <w:right w:val="none" w:sz="0" w:space="0" w:color="auto"/>
          </w:divBdr>
        </w:div>
        <w:div w:id="1193423896">
          <w:marLeft w:val="0"/>
          <w:marRight w:val="0"/>
          <w:marTop w:val="0"/>
          <w:marBottom w:val="0"/>
          <w:divBdr>
            <w:top w:val="none" w:sz="0" w:space="0" w:color="auto"/>
            <w:left w:val="none" w:sz="0" w:space="0" w:color="auto"/>
            <w:bottom w:val="none" w:sz="0" w:space="0" w:color="auto"/>
            <w:right w:val="none" w:sz="0" w:space="0" w:color="auto"/>
          </w:divBdr>
        </w:div>
        <w:div w:id="225996085">
          <w:marLeft w:val="0"/>
          <w:marRight w:val="0"/>
          <w:marTop w:val="0"/>
          <w:marBottom w:val="0"/>
          <w:divBdr>
            <w:top w:val="none" w:sz="0" w:space="0" w:color="auto"/>
            <w:left w:val="none" w:sz="0" w:space="0" w:color="auto"/>
            <w:bottom w:val="none" w:sz="0" w:space="0" w:color="auto"/>
            <w:right w:val="none" w:sz="0" w:space="0" w:color="auto"/>
          </w:divBdr>
        </w:div>
        <w:div w:id="534121875">
          <w:marLeft w:val="0"/>
          <w:marRight w:val="0"/>
          <w:marTop w:val="0"/>
          <w:marBottom w:val="0"/>
          <w:divBdr>
            <w:top w:val="none" w:sz="0" w:space="0" w:color="auto"/>
            <w:left w:val="none" w:sz="0" w:space="0" w:color="auto"/>
            <w:bottom w:val="none" w:sz="0" w:space="0" w:color="auto"/>
            <w:right w:val="none" w:sz="0" w:space="0" w:color="auto"/>
          </w:divBdr>
        </w:div>
        <w:div w:id="1239174731">
          <w:marLeft w:val="0"/>
          <w:marRight w:val="0"/>
          <w:marTop w:val="0"/>
          <w:marBottom w:val="0"/>
          <w:divBdr>
            <w:top w:val="none" w:sz="0" w:space="0" w:color="auto"/>
            <w:left w:val="none" w:sz="0" w:space="0" w:color="auto"/>
            <w:bottom w:val="none" w:sz="0" w:space="0" w:color="auto"/>
            <w:right w:val="none" w:sz="0" w:space="0" w:color="auto"/>
          </w:divBdr>
        </w:div>
        <w:div w:id="568737479">
          <w:marLeft w:val="0"/>
          <w:marRight w:val="0"/>
          <w:marTop w:val="0"/>
          <w:marBottom w:val="0"/>
          <w:divBdr>
            <w:top w:val="none" w:sz="0" w:space="0" w:color="auto"/>
            <w:left w:val="none" w:sz="0" w:space="0" w:color="auto"/>
            <w:bottom w:val="none" w:sz="0" w:space="0" w:color="auto"/>
            <w:right w:val="none" w:sz="0" w:space="0" w:color="auto"/>
          </w:divBdr>
        </w:div>
        <w:div w:id="2047487384">
          <w:marLeft w:val="0"/>
          <w:marRight w:val="0"/>
          <w:marTop w:val="0"/>
          <w:marBottom w:val="0"/>
          <w:divBdr>
            <w:top w:val="none" w:sz="0" w:space="0" w:color="auto"/>
            <w:left w:val="none" w:sz="0" w:space="0" w:color="auto"/>
            <w:bottom w:val="none" w:sz="0" w:space="0" w:color="auto"/>
            <w:right w:val="none" w:sz="0" w:space="0" w:color="auto"/>
          </w:divBdr>
        </w:div>
        <w:div w:id="647828402">
          <w:marLeft w:val="0"/>
          <w:marRight w:val="0"/>
          <w:marTop w:val="0"/>
          <w:marBottom w:val="0"/>
          <w:divBdr>
            <w:top w:val="none" w:sz="0" w:space="0" w:color="auto"/>
            <w:left w:val="none" w:sz="0" w:space="0" w:color="auto"/>
            <w:bottom w:val="none" w:sz="0" w:space="0" w:color="auto"/>
            <w:right w:val="none" w:sz="0" w:space="0" w:color="auto"/>
          </w:divBdr>
        </w:div>
        <w:div w:id="670453329">
          <w:marLeft w:val="0"/>
          <w:marRight w:val="0"/>
          <w:marTop w:val="0"/>
          <w:marBottom w:val="0"/>
          <w:divBdr>
            <w:top w:val="none" w:sz="0" w:space="0" w:color="auto"/>
            <w:left w:val="none" w:sz="0" w:space="0" w:color="auto"/>
            <w:bottom w:val="none" w:sz="0" w:space="0" w:color="auto"/>
            <w:right w:val="none" w:sz="0" w:space="0" w:color="auto"/>
          </w:divBdr>
        </w:div>
        <w:div w:id="619385163">
          <w:marLeft w:val="0"/>
          <w:marRight w:val="0"/>
          <w:marTop w:val="0"/>
          <w:marBottom w:val="0"/>
          <w:divBdr>
            <w:top w:val="none" w:sz="0" w:space="0" w:color="auto"/>
            <w:left w:val="none" w:sz="0" w:space="0" w:color="auto"/>
            <w:bottom w:val="none" w:sz="0" w:space="0" w:color="auto"/>
            <w:right w:val="none" w:sz="0" w:space="0" w:color="auto"/>
          </w:divBdr>
        </w:div>
        <w:div w:id="1734231022">
          <w:marLeft w:val="0"/>
          <w:marRight w:val="0"/>
          <w:marTop w:val="0"/>
          <w:marBottom w:val="0"/>
          <w:divBdr>
            <w:top w:val="none" w:sz="0" w:space="0" w:color="auto"/>
            <w:left w:val="none" w:sz="0" w:space="0" w:color="auto"/>
            <w:bottom w:val="none" w:sz="0" w:space="0" w:color="auto"/>
            <w:right w:val="none" w:sz="0" w:space="0" w:color="auto"/>
          </w:divBdr>
        </w:div>
        <w:div w:id="736703957">
          <w:marLeft w:val="0"/>
          <w:marRight w:val="0"/>
          <w:marTop w:val="0"/>
          <w:marBottom w:val="0"/>
          <w:divBdr>
            <w:top w:val="none" w:sz="0" w:space="0" w:color="auto"/>
            <w:left w:val="none" w:sz="0" w:space="0" w:color="auto"/>
            <w:bottom w:val="none" w:sz="0" w:space="0" w:color="auto"/>
            <w:right w:val="none" w:sz="0" w:space="0" w:color="auto"/>
          </w:divBdr>
        </w:div>
        <w:div w:id="1017148826">
          <w:marLeft w:val="0"/>
          <w:marRight w:val="0"/>
          <w:marTop w:val="0"/>
          <w:marBottom w:val="0"/>
          <w:divBdr>
            <w:top w:val="none" w:sz="0" w:space="0" w:color="auto"/>
            <w:left w:val="none" w:sz="0" w:space="0" w:color="auto"/>
            <w:bottom w:val="none" w:sz="0" w:space="0" w:color="auto"/>
            <w:right w:val="none" w:sz="0" w:space="0" w:color="auto"/>
          </w:divBdr>
        </w:div>
        <w:div w:id="996302812">
          <w:marLeft w:val="0"/>
          <w:marRight w:val="0"/>
          <w:marTop w:val="0"/>
          <w:marBottom w:val="0"/>
          <w:divBdr>
            <w:top w:val="none" w:sz="0" w:space="0" w:color="auto"/>
            <w:left w:val="none" w:sz="0" w:space="0" w:color="auto"/>
            <w:bottom w:val="none" w:sz="0" w:space="0" w:color="auto"/>
            <w:right w:val="none" w:sz="0" w:space="0" w:color="auto"/>
          </w:divBdr>
        </w:div>
        <w:div w:id="283582762">
          <w:marLeft w:val="0"/>
          <w:marRight w:val="0"/>
          <w:marTop w:val="0"/>
          <w:marBottom w:val="0"/>
          <w:divBdr>
            <w:top w:val="none" w:sz="0" w:space="0" w:color="auto"/>
            <w:left w:val="none" w:sz="0" w:space="0" w:color="auto"/>
            <w:bottom w:val="none" w:sz="0" w:space="0" w:color="auto"/>
            <w:right w:val="none" w:sz="0" w:space="0" w:color="auto"/>
          </w:divBdr>
        </w:div>
        <w:div w:id="1821337298">
          <w:marLeft w:val="0"/>
          <w:marRight w:val="0"/>
          <w:marTop w:val="0"/>
          <w:marBottom w:val="0"/>
          <w:divBdr>
            <w:top w:val="none" w:sz="0" w:space="0" w:color="auto"/>
            <w:left w:val="none" w:sz="0" w:space="0" w:color="auto"/>
            <w:bottom w:val="none" w:sz="0" w:space="0" w:color="auto"/>
            <w:right w:val="none" w:sz="0" w:space="0" w:color="auto"/>
          </w:divBdr>
        </w:div>
        <w:div w:id="597492487">
          <w:marLeft w:val="0"/>
          <w:marRight w:val="0"/>
          <w:marTop w:val="0"/>
          <w:marBottom w:val="0"/>
          <w:divBdr>
            <w:top w:val="none" w:sz="0" w:space="0" w:color="auto"/>
            <w:left w:val="none" w:sz="0" w:space="0" w:color="auto"/>
            <w:bottom w:val="none" w:sz="0" w:space="0" w:color="auto"/>
            <w:right w:val="none" w:sz="0" w:space="0" w:color="auto"/>
          </w:divBdr>
        </w:div>
        <w:div w:id="1015768199">
          <w:marLeft w:val="0"/>
          <w:marRight w:val="0"/>
          <w:marTop w:val="0"/>
          <w:marBottom w:val="0"/>
          <w:divBdr>
            <w:top w:val="none" w:sz="0" w:space="0" w:color="auto"/>
            <w:left w:val="none" w:sz="0" w:space="0" w:color="auto"/>
            <w:bottom w:val="none" w:sz="0" w:space="0" w:color="auto"/>
            <w:right w:val="none" w:sz="0" w:space="0" w:color="auto"/>
          </w:divBdr>
        </w:div>
        <w:div w:id="974332030">
          <w:marLeft w:val="0"/>
          <w:marRight w:val="0"/>
          <w:marTop w:val="0"/>
          <w:marBottom w:val="0"/>
          <w:divBdr>
            <w:top w:val="none" w:sz="0" w:space="0" w:color="auto"/>
            <w:left w:val="none" w:sz="0" w:space="0" w:color="auto"/>
            <w:bottom w:val="none" w:sz="0" w:space="0" w:color="auto"/>
            <w:right w:val="none" w:sz="0" w:space="0" w:color="auto"/>
          </w:divBdr>
        </w:div>
        <w:div w:id="642542174">
          <w:marLeft w:val="0"/>
          <w:marRight w:val="0"/>
          <w:marTop w:val="0"/>
          <w:marBottom w:val="0"/>
          <w:divBdr>
            <w:top w:val="none" w:sz="0" w:space="0" w:color="auto"/>
            <w:left w:val="none" w:sz="0" w:space="0" w:color="auto"/>
            <w:bottom w:val="none" w:sz="0" w:space="0" w:color="auto"/>
            <w:right w:val="none" w:sz="0" w:space="0" w:color="auto"/>
          </w:divBdr>
        </w:div>
        <w:div w:id="1092386569">
          <w:marLeft w:val="0"/>
          <w:marRight w:val="0"/>
          <w:marTop w:val="0"/>
          <w:marBottom w:val="0"/>
          <w:divBdr>
            <w:top w:val="none" w:sz="0" w:space="0" w:color="auto"/>
            <w:left w:val="none" w:sz="0" w:space="0" w:color="auto"/>
            <w:bottom w:val="none" w:sz="0" w:space="0" w:color="auto"/>
            <w:right w:val="none" w:sz="0" w:space="0" w:color="auto"/>
          </w:divBdr>
        </w:div>
        <w:div w:id="894582569">
          <w:marLeft w:val="0"/>
          <w:marRight w:val="0"/>
          <w:marTop w:val="0"/>
          <w:marBottom w:val="0"/>
          <w:divBdr>
            <w:top w:val="none" w:sz="0" w:space="0" w:color="auto"/>
            <w:left w:val="none" w:sz="0" w:space="0" w:color="auto"/>
            <w:bottom w:val="none" w:sz="0" w:space="0" w:color="auto"/>
            <w:right w:val="none" w:sz="0" w:space="0" w:color="auto"/>
          </w:divBdr>
        </w:div>
        <w:div w:id="557475678">
          <w:marLeft w:val="0"/>
          <w:marRight w:val="0"/>
          <w:marTop w:val="0"/>
          <w:marBottom w:val="0"/>
          <w:divBdr>
            <w:top w:val="none" w:sz="0" w:space="0" w:color="auto"/>
            <w:left w:val="none" w:sz="0" w:space="0" w:color="auto"/>
            <w:bottom w:val="none" w:sz="0" w:space="0" w:color="auto"/>
            <w:right w:val="none" w:sz="0" w:space="0" w:color="auto"/>
          </w:divBdr>
        </w:div>
        <w:div w:id="675839485">
          <w:marLeft w:val="0"/>
          <w:marRight w:val="0"/>
          <w:marTop w:val="0"/>
          <w:marBottom w:val="0"/>
          <w:divBdr>
            <w:top w:val="none" w:sz="0" w:space="0" w:color="auto"/>
            <w:left w:val="none" w:sz="0" w:space="0" w:color="auto"/>
            <w:bottom w:val="none" w:sz="0" w:space="0" w:color="auto"/>
            <w:right w:val="none" w:sz="0" w:space="0" w:color="auto"/>
          </w:divBdr>
        </w:div>
        <w:div w:id="166680168">
          <w:marLeft w:val="0"/>
          <w:marRight w:val="0"/>
          <w:marTop w:val="0"/>
          <w:marBottom w:val="0"/>
          <w:divBdr>
            <w:top w:val="none" w:sz="0" w:space="0" w:color="auto"/>
            <w:left w:val="none" w:sz="0" w:space="0" w:color="auto"/>
            <w:bottom w:val="none" w:sz="0" w:space="0" w:color="auto"/>
            <w:right w:val="none" w:sz="0" w:space="0" w:color="auto"/>
          </w:divBdr>
        </w:div>
        <w:div w:id="1986399065">
          <w:marLeft w:val="0"/>
          <w:marRight w:val="0"/>
          <w:marTop w:val="0"/>
          <w:marBottom w:val="0"/>
          <w:divBdr>
            <w:top w:val="none" w:sz="0" w:space="0" w:color="auto"/>
            <w:left w:val="none" w:sz="0" w:space="0" w:color="auto"/>
            <w:bottom w:val="none" w:sz="0" w:space="0" w:color="auto"/>
            <w:right w:val="none" w:sz="0" w:space="0" w:color="auto"/>
          </w:divBdr>
        </w:div>
        <w:div w:id="1685745765">
          <w:marLeft w:val="0"/>
          <w:marRight w:val="0"/>
          <w:marTop w:val="0"/>
          <w:marBottom w:val="0"/>
          <w:divBdr>
            <w:top w:val="none" w:sz="0" w:space="0" w:color="auto"/>
            <w:left w:val="none" w:sz="0" w:space="0" w:color="auto"/>
            <w:bottom w:val="none" w:sz="0" w:space="0" w:color="auto"/>
            <w:right w:val="none" w:sz="0" w:space="0" w:color="auto"/>
          </w:divBdr>
        </w:div>
        <w:div w:id="1925452186">
          <w:marLeft w:val="0"/>
          <w:marRight w:val="0"/>
          <w:marTop w:val="0"/>
          <w:marBottom w:val="0"/>
          <w:divBdr>
            <w:top w:val="none" w:sz="0" w:space="0" w:color="auto"/>
            <w:left w:val="none" w:sz="0" w:space="0" w:color="auto"/>
            <w:bottom w:val="none" w:sz="0" w:space="0" w:color="auto"/>
            <w:right w:val="none" w:sz="0" w:space="0" w:color="auto"/>
          </w:divBdr>
        </w:div>
        <w:div w:id="1506703951">
          <w:marLeft w:val="0"/>
          <w:marRight w:val="0"/>
          <w:marTop w:val="0"/>
          <w:marBottom w:val="0"/>
          <w:divBdr>
            <w:top w:val="none" w:sz="0" w:space="0" w:color="auto"/>
            <w:left w:val="none" w:sz="0" w:space="0" w:color="auto"/>
            <w:bottom w:val="none" w:sz="0" w:space="0" w:color="auto"/>
            <w:right w:val="none" w:sz="0" w:space="0" w:color="auto"/>
          </w:divBdr>
        </w:div>
        <w:div w:id="1743215485">
          <w:marLeft w:val="0"/>
          <w:marRight w:val="0"/>
          <w:marTop w:val="0"/>
          <w:marBottom w:val="0"/>
          <w:divBdr>
            <w:top w:val="none" w:sz="0" w:space="0" w:color="auto"/>
            <w:left w:val="none" w:sz="0" w:space="0" w:color="auto"/>
            <w:bottom w:val="none" w:sz="0" w:space="0" w:color="auto"/>
            <w:right w:val="none" w:sz="0" w:space="0" w:color="auto"/>
          </w:divBdr>
        </w:div>
        <w:div w:id="1559710459">
          <w:marLeft w:val="0"/>
          <w:marRight w:val="0"/>
          <w:marTop w:val="0"/>
          <w:marBottom w:val="0"/>
          <w:divBdr>
            <w:top w:val="none" w:sz="0" w:space="0" w:color="auto"/>
            <w:left w:val="none" w:sz="0" w:space="0" w:color="auto"/>
            <w:bottom w:val="none" w:sz="0" w:space="0" w:color="auto"/>
            <w:right w:val="none" w:sz="0" w:space="0" w:color="auto"/>
          </w:divBdr>
        </w:div>
        <w:div w:id="208032608">
          <w:marLeft w:val="0"/>
          <w:marRight w:val="0"/>
          <w:marTop w:val="0"/>
          <w:marBottom w:val="0"/>
          <w:divBdr>
            <w:top w:val="none" w:sz="0" w:space="0" w:color="auto"/>
            <w:left w:val="none" w:sz="0" w:space="0" w:color="auto"/>
            <w:bottom w:val="none" w:sz="0" w:space="0" w:color="auto"/>
            <w:right w:val="none" w:sz="0" w:space="0" w:color="auto"/>
          </w:divBdr>
        </w:div>
        <w:div w:id="520625204">
          <w:marLeft w:val="0"/>
          <w:marRight w:val="0"/>
          <w:marTop w:val="0"/>
          <w:marBottom w:val="0"/>
          <w:divBdr>
            <w:top w:val="none" w:sz="0" w:space="0" w:color="auto"/>
            <w:left w:val="none" w:sz="0" w:space="0" w:color="auto"/>
            <w:bottom w:val="none" w:sz="0" w:space="0" w:color="auto"/>
            <w:right w:val="none" w:sz="0" w:space="0" w:color="auto"/>
          </w:divBdr>
        </w:div>
        <w:div w:id="306670991">
          <w:marLeft w:val="0"/>
          <w:marRight w:val="0"/>
          <w:marTop w:val="0"/>
          <w:marBottom w:val="0"/>
          <w:divBdr>
            <w:top w:val="none" w:sz="0" w:space="0" w:color="auto"/>
            <w:left w:val="none" w:sz="0" w:space="0" w:color="auto"/>
            <w:bottom w:val="none" w:sz="0" w:space="0" w:color="auto"/>
            <w:right w:val="none" w:sz="0" w:space="0" w:color="auto"/>
          </w:divBdr>
        </w:div>
        <w:div w:id="988945297">
          <w:marLeft w:val="0"/>
          <w:marRight w:val="0"/>
          <w:marTop w:val="0"/>
          <w:marBottom w:val="0"/>
          <w:divBdr>
            <w:top w:val="none" w:sz="0" w:space="0" w:color="auto"/>
            <w:left w:val="none" w:sz="0" w:space="0" w:color="auto"/>
            <w:bottom w:val="none" w:sz="0" w:space="0" w:color="auto"/>
            <w:right w:val="none" w:sz="0" w:space="0" w:color="auto"/>
          </w:divBdr>
        </w:div>
        <w:div w:id="207575568">
          <w:marLeft w:val="0"/>
          <w:marRight w:val="0"/>
          <w:marTop w:val="0"/>
          <w:marBottom w:val="0"/>
          <w:divBdr>
            <w:top w:val="none" w:sz="0" w:space="0" w:color="auto"/>
            <w:left w:val="none" w:sz="0" w:space="0" w:color="auto"/>
            <w:bottom w:val="none" w:sz="0" w:space="0" w:color="auto"/>
            <w:right w:val="none" w:sz="0" w:space="0" w:color="auto"/>
          </w:divBdr>
        </w:div>
        <w:div w:id="908999832">
          <w:marLeft w:val="0"/>
          <w:marRight w:val="0"/>
          <w:marTop w:val="0"/>
          <w:marBottom w:val="0"/>
          <w:divBdr>
            <w:top w:val="none" w:sz="0" w:space="0" w:color="auto"/>
            <w:left w:val="none" w:sz="0" w:space="0" w:color="auto"/>
            <w:bottom w:val="none" w:sz="0" w:space="0" w:color="auto"/>
            <w:right w:val="none" w:sz="0" w:space="0" w:color="auto"/>
          </w:divBdr>
        </w:div>
        <w:div w:id="924722583">
          <w:marLeft w:val="0"/>
          <w:marRight w:val="0"/>
          <w:marTop w:val="0"/>
          <w:marBottom w:val="0"/>
          <w:divBdr>
            <w:top w:val="none" w:sz="0" w:space="0" w:color="auto"/>
            <w:left w:val="none" w:sz="0" w:space="0" w:color="auto"/>
            <w:bottom w:val="none" w:sz="0" w:space="0" w:color="auto"/>
            <w:right w:val="none" w:sz="0" w:space="0" w:color="auto"/>
          </w:divBdr>
        </w:div>
        <w:div w:id="502282696">
          <w:marLeft w:val="0"/>
          <w:marRight w:val="0"/>
          <w:marTop w:val="0"/>
          <w:marBottom w:val="0"/>
          <w:divBdr>
            <w:top w:val="none" w:sz="0" w:space="0" w:color="auto"/>
            <w:left w:val="none" w:sz="0" w:space="0" w:color="auto"/>
            <w:bottom w:val="none" w:sz="0" w:space="0" w:color="auto"/>
            <w:right w:val="none" w:sz="0" w:space="0" w:color="auto"/>
          </w:divBdr>
        </w:div>
        <w:div w:id="1302031972">
          <w:marLeft w:val="0"/>
          <w:marRight w:val="0"/>
          <w:marTop w:val="0"/>
          <w:marBottom w:val="0"/>
          <w:divBdr>
            <w:top w:val="none" w:sz="0" w:space="0" w:color="auto"/>
            <w:left w:val="none" w:sz="0" w:space="0" w:color="auto"/>
            <w:bottom w:val="none" w:sz="0" w:space="0" w:color="auto"/>
            <w:right w:val="none" w:sz="0" w:space="0" w:color="auto"/>
          </w:divBdr>
        </w:div>
        <w:div w:id="481000157">
          <w:marLeft w:val="0"/>
          <w:marRight w:val="0"/>
          <w:marTop w:val="0"/>
          <w:marBottom w:val="0"/>
          <w:divBdr>
            <w:top w:val="none" w:sz="0" w:space="0" w:color="auto"/>
            <w:left w:val="none" w:sz="0" w:space="0" w:color="auto"/>
            <w:bottom w:val="none" w:sz="0" w:space="0" w:color="auto"/>
            <w:right w:val="none" w:sz="0" w:space="0" w:color="auto"/>
          </w:divBdr>
        </w:div>
        <w:div w:id="548147529">
          <w:marLeft w:val="0"/>
          <w:marRight w:val="0"/>
          <w:marTop w:val="0"/>
          <w:marBottom w:val="0"/>
          <w:divBdr>
            <w:top w:val="none" w:sz="0" w:space="0" w:color="auto"/>
            <w:left w:val="none" w:sz="0" w:space="0" w:color="auto"/>
            <w:bottom w:val="none" w:sz="0" w:space="0" w:color="auto"/>
            <w:right w:val="none" w:sz="0" w:space="0" w:color="auto"/>
          </w:divBdr>
        </w:div>
        <w:div w:id="719597266">
          <w:marLeft w:val="0"/>
          <w:marRight w:val="0"/>
          <w:marTop w:val="0"/>
          <w:marBottom w:val="0"/>
          <w:divBdr>
            <w:top w:val="none" w:sz="0" w:space="0" w:color="auto"/>
            <w:left w:val="none" w:sz="0" w:space="0" w:color="auto"/>
            <w:bottom w:val="none" w:sz="0" w:space="0" w:color="auto"/>
            <w:right w:val="none" w:sz="0" w:space="0" w:color="auto"/>
          </w:divBdr>
        </w:div>
        <w:div w:id="1179853191">
          <w:marLeft w:val="0"/>
          <w:marRight w:val="0"/>
          <w:marTop w:val="0"/>
          <w:marBottom w:val="0"/>
          <w:divBdr>
            <w:top w:val="none" w:sz="0" w:space="0" w:color="auto"/>
            <w:left w:val="none" w:sz="0" w:space="0" w:color="auto"/>
            <w:bottom w:val="none" w:sz="0" w:space="0" w:color="auto"/>
            <w:right w:val="none" w:sz="0" w:space="0" w:color="auto"/>
          </w:divBdr>
        </w:div>
        <w:div w:id="1163667101">
          <w:marLeft w:val="0"/>
          <w:marRight w:val="0"/>
          <w:marTop w:val="0"/>
          <w:marBottom w:val="0"/>
          <w:divBdr>
            <w:top w:val="none" w:sz="0" w:space="0" w:color="auto"/>
            <w:left w:val="none" w:sz="0" w:space="0" w:color="auto"/>
            <w:bottom w:val="none" w:sz="0" w:space="0" w:color="auto"/>
            <w:right w:val="none" w:sz="0" w:space="0" w:color="auto"/>
          </w:divBdr>
        </w:div>
        <w:div w:id="1961840168">
          <w:marLeft w:val="0"/>
          <w:marRight w:val="0"/>
          <w:marTop w:val="0"/>
          <w:marBottom w:val="0"/>
          <w:divBdr>
            <w:top w:val="none" w:sz="0" w:space="0" w:color="auto"/>
            <w:left w:val="none" w:sz="0" w:space="0" w:color="auto"/>
            <w:bottom w:val="none" w:sz="0" w:space="0" w:color="auto"/>
            <w:right w:val="none" w:sz="0" w:space="0" w:color="auto"/>
          </w:divBdr>
        </w:div>
        <w:div w:id="1695417471">
          <w:marLeft w:val="0"/>
          <w:marRight w:val="0"/>
          <w:marTop w:val="0"/>
          <w:marBottom w:val="0"/>
          <w:divBdr>
            <w:top w:val="none" w:sz="0" w:space="0" w:color="auto"/>
            <w:left w:val="none" w:sz="0" w:space="0" w:color="auto"/>
            <w:bottom w:val="none" w:sz="0" w:space="0" w:color="auto"/>
            <w:right w:val="none" w:sz="0" w:space="0" w:color="auto"/>
          </w:divBdr>
        </w:div>
        <w:div w:id="2059819822">
          <w:marLeft w:val="0"/>
          <w:marRight w:val="0"/>
          <w:marTop w:val="0"/>
          <w:marBottom w:val="0"/>
          <w:divBdr>
            <w:top w:val="none" w:sz="0" w:space="0" w:color="auto"/>
            <w:left w:val="none" w:sz="0" w:space="0" w:color="auto"/>
            <w:bottom w:val="none" w:sz="0" w:space="0" w:color="auto"/>
            <w:right w:val="none" w:sz="0" w:space="0" w:color="auto"/>
          </w:divBdr>
        </w:div>
        <w:div w:id="102501348">
          <w:marLeft w:val="0"/>
          <w:marRight w:val="0"/>
          <w:marTop w:val="0"/>
          <w:marBottom w:val="0"/>
          <w:divBdr>
            <w:top w:val="none" w:sz="0" w:space="0" w:color="auto"/>
            <w:left w:val="none" w:sz="0" w:space="0" w:color="auto"/>
            <w:bottom w:val="none" w:sz="0" w:space="0" w:color="auto"/>
            <w:right w:val="none" w:sz="0" w:space="0" w:color="auto"/>
          </w:divBdr>
        </w:div>
        <w:div w:id="1118573991">
          <w:marLeft w:val="0"/>
          <w:marRight w:val="0"/>
          <w:marTop w:val="0"/>
          <w:marBottom w:val="0"/>
          <w:divBdr>
            <w:top w:val="none" w:sz="0" w:space="0" w:color="auto"/>
            <w:left w:val="none" w:sz="0" w:space="0" w:color="auto"/>
            <w:bottom w:val="none" w:sz="0" w:space="0" w:color="auto"/>
            <w:right w:val="none" w:sz="0" w:space="0" w:color="auto"/>
          </w:divBdr>
        </w:div>
        <w:div w:id="1077821951">
          <w:marLeft w:val="0"/>
          <w:marRight w:val="0"/>
          <w:marTop w:val="0"/>
          <w:marBottom w:val="0"/>
          <w:divBdr>
            <w:top w:val="none" w:sz="0" w:space="0" w:color="auto"/>
            <w:left w:val="none" w:sz="0" w:space="0" w:color="auto"/>
            <w:bottom w:val="none" w:sz="0" w:space="0" w:color="auto"/>
            <w:right w:val="none" w:sz="0" w:space="0" w:color="auto"/>
          </w:divBdr>
        </w:div>
        <w:div w:id="1931113836">
          <w:marLeft w:val="0"/>
          <w:marRight w:val="0"/>
          <w:marTop w:val="0"/>
          <w:marBottom w:val="0"/>
          <w:divBdr>
            <w:top w:val="none" w:sz="0" w:space="0" w:color="auto"/>
            <w:left w:val="none" w:sz="0" w:space="0" w:color="auto"/>
            <w:bottom w:val="none" w:sz="0" w:space="0" w:color="auto"/>
            <w:right w:val="none" w:sz="0" w:space="0" w:color="auto"/>
          </w:divBdr>
        </w:div>
        <w:div w:id="1534537364">
          <w:marLeft w:val="0"/>
          <w:marRight w:val="0"/>
          <w:marTop w:val="0"/>
          <w:marBottom w:val="0"/>
          <w:divBdr>
            <w:top w:val="none" w:sz="0" w:space="0" w:color="auto"/>
            <w:left w:val="none" w:sz="0" w:space="0" w:color="auto"/>
            <w:bottom w:val="none" w:sz="0" w:space="0" w:color="auto"/>
            <w:right w:val="none" w:sz="0" w:space="0" w:color="auto"/>
          </w:divBdr>
        </w:div>
        <w:div w:id="1749578063">
          <w:marLeft w:val="0"/>
          <w:marRight w:val="0"/>
          <w:marTop w:val="0"/>
          <w:marBottom w:val="0"/>
          <w:divBdr>
            <w:top w:val="none" w:sz="0" w:space="0" w:color="auto"/>
            <w:left w:val="none" w:sz="0" w:space="0" w:color="auto"/>
            <w:bottom w:val="none" w:sz="0" w:space="0" w:color="auto"/>
            <w:right w:val="none" w:sz="0" w:space="0" w:color="auto"/>
          </w:divBdr>
        </w:div>
        <w:div w:id="2088385193">
          <w:marLeft w:val="0"/>
          <w:marRight w:val="0"/>
          <w:marTop w:val="0"/>
          <w:marBottom w:val="0"/>
          <w:divBdr>
            <w:top w:val="none" w:sz="0" w:space="0" w:color="auto"/>
            <w:left w:val="none" w:sz="0" w:space="0" w:color="auto"/>
            <w:bottom w:val="none" w:sz="0" w:space="0" w:color="auto"/>
            <w:right w:val="none" w:sz="0" w:space="0" w:color="auto"/>
          </w:divBdr>
        </w:div>
        <w:div w:id="1916667388">
          <w:marLeft w:val="0"/>
          <w:marRight w:val="0"/>
          <w:marTop w:val="0"/>
          <w:marBottom w:val="0"/>
          <w:divBdr>
            <w:top w:val="none" w:sz="0" w:space="0" w:color="auto"/>
            <w:left w:val="none" w:sz="0" w:space="0" w:color="auto"/>
            <w:bottom w:val="none" w:sz="0" w:space="0" w:color="auto"/>
            <w:right w:val="none" w:sz="0" w:space="0" w:color="auto"/>
          </w:divBdr>
        </w:div>
        <w:div w:id="402065824">
          <w:marLeft w:val="0"/>
          <w:marRight w:val="0"/>
          <w:marTop w:val="0"/>
          <w:marBottom w:val="0"/>
          <w:divBdr>
            <w:top w:val="none" w:sz="0" w:space="0" w:color="auto"/>
            <w:left w:val="none" w:sz="0" w:space="0" w:color="auto"/>
            <w:bottom w:val="none" w:sz="0" w:space="0" w:color="auto"/>
            <w:right w:val="none" w:sz="0" w:space="0" w:color="auto"/>
          </w:divBdr>
        </w:div>
        <w:div w:id="979846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Lee</dc:creator>
  <cp:lastModifiedBy>Redmond</cp:lastModifiedBy>
  <cp:revision>2</cp:revision>
  <dcterms:created xsi:type="dcterms:W3CDTF">2022-10-04T15:49:00Z</dcterms:created>
  <dcterms:modified xsi:type="dcterms:W3CDTF">2022-10-04T15:49:00Z</dcterms:modified>
</cp:coreProperties>
</file>